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8B" w:rsidRPr="00DA699F" w:rsidRDefault="003F7A8B" w:rsidP="003F7A8B">
      <w:pPr>
        <w:pStyle w:val="Default"/>
      </w:pPr>
      <w:bookmarkStart w:id="0" w:name="_GoBack"/>
      <w:bookmarkEnd w:id="0"/>
    </w:p>
    <w:p w:rsidR="003F7A8B" w:rsidRPr="00DA699F" w:rsidRDefault="003F7A8B" w:rsidP="003F7A8B">
      <w:pPr>
        <w:pStyle w:val="Default"/>
        <w:jc w:val="right"/>
        <w:rPr>
          <w:b/>
          <w:bCs/>
          <w:sz w:val="23"/>
          <w:szCs w:val="23"/>
        </w:rPr>
      </w:pPr>
      <w:r w:rsidRPr="00DA699F">
        <w:t xml:space="preserve"> </w:t>
      </w:r>
      <w:r w:rsidR="00BB77D9" w:rsidRPr="00DA699F">
        <w:rPr>
          <w:b/>
          <w:bCs/>
          <w:sz w:val="23"/>
          <w:szCs w:val="23"/>
        </w:rPr>
        <w:t xml:space="preserve">100 </w:t>
      </w:r>
      <w:proofErr w:type="spellStart"/>
      <w:r w:rsidR="00BB77D9" w:rsidRPr="00DA699F">
        <w:rPr>
          <w:b/>
          <w:bCs/>
          <w:sz w:val="23"/>
          <w:szCs w:val="23"/>
        </w:rPr>
        <w:t>Spr</w:t>
      </w:r>
      <w:proofErr w:type="spellEnd"/>
      <w:r w:rsidR="00BB77D9" w:rsidRPr="00DA699F">
        <w:rPr>
          <w:b/>
          <w:bCs/>
          <w:sz w:val="23"/>
          <w:szCs w:val="23"/>
        </w:rPr>
        <w:t xml:space="preserve"> 509</w:t>
      </w:r>
      <w:r w:rsidRPr="00DA699F">
        <w:rPr>
          <w:b/>
          <w:bCs/>
          <w:sz w:val="23"/>
          <w:szCs w:val="23"/>
        </w:rPr>
        <w:t>/201</w:t>
      </w:r>
      <w:r w:rsidR="00C47D49" w:rsidRPr="00DA699F">
        <w:rPr>
          <w:b/>
          <w:bCs/>
          <w:sz w:val="23"/>
          <w:szCs w:val="23"/>
        </w:rPr>
        <w:t>9</w:t>
      </w:r>
      <w:r w:rsidRPr="00DA699F">
        <w:rPr>
          <w:b/>
          <w:bCs/>
          <w:sz w:val="23"/>
          <w:szCs w:val="23"/>
        </w:rPr>
        <w:t xml:space="preserve"> </w:t>
      </w:r>
    </w:p>
    <w:p w:rsidR="003F7A8B" w:rsidRPr="00DA699F" w:rsidRDefault="003F7A8B" w:rsidP="003F7A8B">
      <w:pPr>
        <w:pStyle w:val="Default"/>
        <w:jc w:val="right"/>
        <w:rPr>
          <w:b/>
          <w:bCs/>
          <w:sz w:val="23"/>
          <w:szCs w:val="23"/>
        </w:rPr>
      </w:pPr>
    </w:p>
    <w:p w:rsidR="003F7A8B" w:rsidRPr="00DA699F" w:rsidRDefault="003F7A8B" w:rsidP="003F7A8B">
      <w:pPr>
        <w:pStyle w:val="Default"/>
        <w:jc w:val="right"/>
        <w:rPr>
          <w:sz w:val="23"/>
          <w:szCs w:val="23"/>
        </w:rPr>
      </w:pPr>
    </w:p>
    <w:p w:rsidR="003F7A8B" w:rsidRPr="00DA699F" w:rsidRDefault="003F7A8B" w:rsidP="003F7A8B">
      <w:pPr>
        <w:pStyle w:val="Default"/>
        <w:jc w:val="center"/>
        <w:rPr>
          <w:b/>
          <w:bCs/>
          <w:sz w:val="28"/>
          <w:szCs w:val="28"/>
        </w:rPr>
      </w:pPr>
      <w:r w:rsidRPr="00DA699F">
        <w:rPr>
          <w:b/>
          <w:bCs/>
          <w:sz w:val="28"/>
          <w:szCs w:val="28"/>
        </w:rPr>
        <w:t>Doplněk č. 3 k Rozvrhu práce</w:t>
      </w:r>
      <w:r w:rsidR="00BA66E3" w:rsidRPr="00DA699F">
        <w:rPr>
          <w:b/>
          <w:bCs/>
          <w:sz w:val="28"/>
          <w:szCs w:val="28"/>
        </w:rPr>
        <w:t xml:space="preserve"> na rok 2019 s účinností od 1. 4</w:t>
      </w:r>
      <w:r w:rsidRPr="00DA699F">
        <w:rPr>
          <w:b/>
          <w:bCs/>
          <w:sz w:val="28"/>
          <w:szCs w:val="28"/>
        </w:rPr>
        <w:t>. 2019</w:t>
      </w:r>
    </w:p>
    <w:p w:rsidR="003F7A8B" w:rsidRPr="00DA699F" w:rsidRDefault="003F7A8B" w:rsidP="003F7A8B">
      <w:pPr>
        <w:pStyle w:val="Default"/>
        <w:jc w:val="center"/>
        <w:rPr>
          <w:sz w:val="28"/>
          <w:szCs w:val="28"/>
        </w:rPr>
      </w:pPr>
    </w:p>
    <w:p w:rsidR="003F7A8B" w:rsidRPr="00DA699F" w:rsidRDefault="003F7A8B" w:rsidP="003F7A8B">
      <w:pPr>
        <w:pStyle w:val="Default"/>
      </w:pPr>
      <w:r w:rsidRPr="00DA699F">
        <w:t xml:space="preserve">Rozvrh práce se s účinností od 1. 5. 2019 mění takto: </w:t>
      </w:r>
    </w:p>
    <w:p w:rsidR="003F7A8B" w:rsidRPr="00DA699F" w:rsidRDefault="003F7A8B" w:rsidP="003F7A8B">
      <w:pPr>
        <w:pStyle w:val="Default"/>
      </w:pPr>
    </w:p>
    <w:p w:rsidR="003F7A8B" w:rsidRPr="00DA699F" w:rsidRDefault="003F7A8B" w:rsidP="003F7A8B">
      <w:pPr>
        <w:pStyle w:val="Default"/>
      </w:pPr>
      <w:r w:rsidRPr="00DA699F">
        <w:t xml:space="preserve">1. Oddíl I., část Obecné principy organizace práce, bod. 3, druhý odstavec, poslední věta nově zní: </w:t>
      </w:r>
    </w:p>
    <w:p w:rsidR="003F7A8B" w:rsidRPr="00DA699F" w:rsidRDefault="003F7A8B" w:rsidP="003F7A8B">
      <w:pPr>
        <w:pStyle w:val="Default"/>
      </w:pPr>
    </w:p>
    <w:p w:rsidR="003F7A8B" w:rsidRPr="00DA699F" w:rsidRDefault="003F7A8B" w:rsidP="003F7A8B">
      <w:pPr>
        <w:pStyle w:val="Default"/>
      </w:pPr>
      <w:r w:rsidRPr="00DA699F">
        <w:t xml:space="preserve">- Vedoucí občanskoprávního úseku pozůstalostního, výkonu rozhodnutí a exekucí je Iveta Havranová. </w:t>
      </w:r>
    </w:p>
    <w:p w:rsidR="003F7A8B" w:rsidRPr="00DA699F" w:rsidRDefault="003F7A8B" w:rsidP="00915928">
      <w:pPr>
        <w:jc w:val="both"/>
        <w:rPr>
          <w:rFonts w:ascii="Garamond" w:hAnsi="Garamond"/>
          <w:sz w:val="24"/>
          <w:szCs w:val="24"/>
        </w:rPr>
      </w:pPr>
    </w:p>
    <w:p w:rsidR="00915928" w:rsidRPr="00DA699F" w:rsidRDefault="003F7A8B" w:rsidP="00915928">
      <w:pPr>
        <w:jc w:val="both"/>
        <w:rPr>
          <w:rFonts w:ascii="Garamond" w:hAnsi="Garamond"/>
          <w:sz w:val="24"/>
          <w:szCs w:val="24"/>
        </w:rPr>
      </w:pPr>
      <w:r w:rsidRPr="00DA699F">
        <w:rPr>
          <w:rFonts w:ascii="Garamond" w:hAnsi="Garamond"/>
          <w:sz w:val="24"/>
          <w:szCs w:val="24"/>
        </w:rPr>
        <w:t>2.</w:t>
      </w:r>
      <w:r w:rsidR="00915928" w:rsidRPr="00DA699F">
        <w:rPr>
          <w:rFonts w:ascii="Garamond" w:hAnsi="Garamond"/>
          <w:sz w:val="24"/>
          <w:szCs w:val="24"/>
        </w:rPr>
        <w:t> </w:t>
      </w:r>
      <w:r w:rsidRPr="00DA699F">
        <w:rPr>
          <w:rFonts w:ascii="Garamond" w:hAnsi="Garamond"/>
          <w:sz w:val="24"/>
          <w:szCs w:val="24"/>
        </w:rPr>
        <w:t>Oddíl</w:t>
      </w:r>
      <w:r w:rsidR="00915928" w:rsidRPr="00DA699F">
        <w:rPr>
          <w:rFonts w:ascii="Garamond" w:hAnsi="Garamond"/>
          <w:sz w:val="24"/>
          <w:szCs w:val="24"/>
        </w:rPr>
        <w:t xml:space="preserve"> III. Úsek občanskoprávní sporný</w:t>
      </w:r>
      <w:r w:rsidR="00A24B68" w:rsidRPr="00DA699F">
        <w:rPr>
          <w:rFonts w:ascii="Garamond" w:hAnsi="Garamond"/>
          <w:sz w:val="24"/>
          <w:szCs w:val="24"/>
        </w:rPr>
        <w:t>:</w:t>
      </w:r>
    </w:p>
    <w:p w:rsidR="001B4956" w:rsidRPr="00DA699F" w:rsidRDefault="00915928" w:rsidP="00A24B6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A699F">
        <w:rPr>
          <w:rFonts w:ascii="Garamond" w:hAnsi="Garamond"/>
          <w:sz w:val="24"/>
          <w:szCs w:val="24"/>
        </w:rPr>
        <w:t xml:space="preserve">Pracovní pozice asistenty soudce v soudním oddělení 12 C se mění na pracovní pozici vyšší soudní úřednice. JUDr. Hana Havránková tak nově zastává pozici vyšší soudní úřednice. Tato skutečnost se zaznamená v tabulce soudního oddělení 7 C – JUDr. Hana Havránková je zde uvedena jako zástupkyně vyšší soudní úřednice Petry Sušilové, v tabulce soudního oddělení 12 C – JUDr. Hana Havránková bude nově uvedena jako vyšší soudní úřednice a v části </w:t>
      </w:r>
      <w:r w:rsidR="00A24B68" w:rsidRPr="00DA699F">
        <w:rPr>
          <w:rFonts w:ascii="Garamond" w:hAnsi="Garamond"/>
          <w:sz w:val="24"/>
          <w:szCs w:val="24"/>
        </w:rPr>
        <w:t>Ř</w:t>
      </w:r>
      <w:r w:rsidRPr="00DA699F">
        <w:rPr>
          <w:rFonts w:ascii="Garamond" w:hAnsi="Garamond"/>
          <w:sz w:val="24"/>
          <w:szCs w:val="24"/>
        </w:rPr>
        <w:t>ešitelé elektronických platebních rozkazů - JUDr. Hana Havránková bude nově uvedena jako vyšší soudní úřednice.</w:t>
      </w:r>
    </w:p>
    <w:p w:rsidR="007023AB" w:rsidRPr="00DA699F" w:rsidRDefault="007023AB" w:rsidP="007023AB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A24B68" w:rsidRPr="00DA699F" w:rsidRDefault="00A24B68" w:rsidP="00A24B6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sz w:val="24"/>
          <w:szCs w:val="24"/>
        </w:rPr>
        <w:t xml:space="preserve">V části Rejstřík 28 </w:t>
      </w:r>
      <w:proofErr w:type="spellStart"/>
      <w:r w:rsidRPr="00DA699F">
        <w:rPr>
          <w:rFonts w:ascii="Garamond" w:hAnsi="Garamond"/>
          <w:sz w:val="24"/>
          <w:szCs w:val="24"/>
        </w:rPr>
        <w:t>Nc</w:t>
      </w:r>
      <w:proofErr w:type="spellEnd"/>
      <w:r w:rsidRPr="00DA699F">
        <w:rPr>
          <w:rFonts w:ascii="Garamond" w:hAnsi="Garamond"/>
          <w:sz w:val="24"/>
          <w:szCs w:val="24"/>
        </w:rPr>
        <w:t xml:space="preserve"> se věta „</w:t>
      </w:r>
      <w:r w:rsidRPr="00DA699F">
        <w:rPr>
          <w:rFonts w:ascii="Garamond" w:hAnsi="Garamond"/>
          <w:color w:val="000000" w:themeColor="text1"/>
          <w:sz w:val="24"/>
          <w:szCs w:val="24"/>
        </w:rPr>
        <w:t>Věci vyřizuje JUDr. Radim Švec a vyšší soudní úřednice Iveta Havranová, rejstřík vedou dle pravidla posledního kladného čísla spisové značky takto: 1, 2 a 3 Dana Kyjaňová, 4, 5 a 6 Bronislava Dobešová a 7, 8 a 9 Šárka Vrbová, a to s výjimkou úředních záznamů o vykázání dle zákona č. 273/2008 Sb., o Policii České republiky, kde rejstřík vede Hana Vavříčková.“ mění tak, že nově zní: „Věci vyřizuje JUDr. Radim Švec a vyšší soudní úřednice Iveta Havranová, rejstřík vede Bronislava Dobešová, a to s výjimkou úředních záznamů o vykázání dle zákona č. 273/2008 Sb., o Policii České republiky, kde rejstřík vede Hana Vavříčková.“</w:t>
      </w:r>
    </w:p>
    <w:p w:rsidR="00437D0E" w:rsidRPr="00DA699F" w:rsidRDefault="00437D0E" w:rsidP="00437D0E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437D0E" w:rsidRPr="00DA699F" w:rsidRDefault="003F7A8B" w:rsidP="00437D0E">
      <w:pPr>
        <w:pStyle w:val="Odstavecseseznamem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sz w:val="24"/>
          <w:szCs w:val="24"/>
        </w:rPr>
        <w:t>3. Oddíl</w:t>
      </w:r>
      <w:r w:rsidR="00437D0E" w:rsidRPr="00DA699F">
        <w:rPr>
          <w:rFonts w:ascii="Garamond" w:hAnsi="Garamond"/>
          <w:sz w:val="24"/>
          <w:szCs w:val="24"/>
        </w:rPr>
        <w:t xml:space="preserve"> </w:t>
      </w:r>
      <w:r w:rsidR="00437D0E" w:rsidRPr="00DA699F">
        <w:rPr>
          <w:rFonts w:ascii="Garamond" w:hAnsi="Garamond"/>
          <w:color w:val="000000" w:themeColor="text1"/>
          <w:sz w:val="24"/>
          <w:szCs w:val="24"/>
        </w:rPr>
        <w:t>V. Úsek občanskoprávní – pozůstalosti, soudní úschovy a umoření listin:</w:t>
      </w:r>
    </w:p>
    <w:p w:rsidR="003F7A8B" w:rsidRPr="00DA699F" w:rsidRDefault="003F7A8B" w:rsidP="00437D0E">
      <w:pPr>
        <w:pStyle w:val="Odstavecseseznamem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37D0E" w:rsidRPr="00DA699F" w:rsidRDefault="00437D0E" w:rsidP="00437D0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Vzhledem ke skončení pracovního poměru vyšší soudního úředníka Petra Bubeníka a vyšší soudní úřednice Kateřiny Kubínové se tabulka soudních oddělení 15 D, 80 SD, 81 U a 82 </w:t>
      </w:r>
      <w:proofErr w:type="spellStart"/>
      <w:r w:rsidRPr="00DA699F">
        <w:rPr>
          <w:rFonts w:ascii="Garamond" w:hAnsi="Garamond"/>
          <w:color w:val="000000" w:themeColor="text1"/>
          <w:sz w:val="24"/>
          <w:szCs w:val="24"/>
        </w:rPr>
        <w:t>Nc</w:t>
      </w:r>
      <w:proofErr w:type="spellEnd"/>
      <w:r w:rsidRPr="00DA699F">
        <w:rPr>
          <w:rFonts w:ascii="Garamond" w:hAnsi="Garamond"/>
          <w:color w:val="000000" w:themeColor="text1"/>
          <w:sz w:val="24"/>
          <w:szCs w:val="24"/>
        </w:rPr>
        <w:t xml:space="preserve"> mění takto:</w:t>
      </w:r>
    </w:p>
    <w:p w:rsidR="00437D0E" w:rsidRPr="00DA699F" w:rsidRDefault="00437D0E" w:rsidP="00437D0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W w:w="40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383"/>
        <w:gridCol w:w="2151"/>
        <w:gridCol w:w="1972"/>
      </w:tblGrid>
      <w:tr w:rsidR="00437D0E" w:rsidRPr="00DA699F" w:rsidTr="00FE37D9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37D0E" w:rsidRPr="00DA699F" w:rsidRDefault="00437D0E" w:rsidP="00437D0E">
            <w:pPr>
              <w:pStyle w:val="Odstavecseseznamem"/>
              <w:numPr>
                <w:ilvl w:val="0"/>
                <w:numId w:val="1"/>
              </w:num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</w:tr>
      <w:tr w:rsidR="00437D0E" w:rsidRPr="00DA699F" w:rsidTr="00FE37D9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437D0E" w:rsidRPr="00DA699F" w:rsidTr="00FE37D9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lastRenderedPageBreak/>
              <w:t>15 D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80 SD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81 U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82 </w:t>
            </w:r>
            <w:proofErr w:type="spellStart"/>
            <w:r w:rsidRPr="00DA699F">
              <w:rPr>
                <w:b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JUDr. Radim Švec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Iveta Havranová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 - věci notářů</w:t>
            </w:r>
          </w:p>
          <w:p w:rsidR="00437D0E" w:rsidRPr="00DA699F" w:rsidRDefault="00437D0E" w:rsidP="00FE37D9">
            <w:pPr>
              <w:spacing w:line="20" w:lineRule="atLeast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DA699F">
              <w:rPr>
                <w:b/>
                <w:color w:val="000000" w:themeColor="text1"/>
                <w:sz w:val="24"/>
                <w:szCs w:val="24"/>
              </w:rPr>
              <w:t>Chvistkové</w:t>
            </w:r>
            <w:proofErr w:type="spellEnd"/>
          </w:p>
          <w:p w:rsidR="00437D0E" w:rsidRPr="00DA699F" w:rsidRDefault="00437D0E" w:rsidP="00FE37D9">
            <w:pPr>
              <w:spacing w:line="20" w:lineRule="atLeast"/>
              <w:ind w:left="106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DA699F">
              <w:rPr>
                <w:b/>
                <w:color w:val="000000" w:themeColor="text1"/>
                <w:sz w:val="24"/>
                <w:szCs w:val="24"/>
              </w:rPr>
              <w:t>Recmana</w:t>
            </w:r>
            <w:proofErr w:type="spellEnd"/>
          </w:p>
          <w:p w:rsidR="00437D0E" w:rsidRPr="00DA699F" w:rsidRDefault="00437D0E" w:rsidP="00FE37D9">
            <w:pPr>
              <w:spacing w:line="20" w:lineRule="atLeast"/>
              <w:ind w:left="106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DA699F">
              <w:rPr>
                <w:b/>
                <w:color w:val="000000" w:themeColor="text1"/>
                <w:sz w:val="24"/>
                <w:szCs w:val="24"/>
              </w:rPr>
              <w:t>Dombrovské</w:t>
            </w:r>
            <w:proofErr w:type="spellEnd"/>
          </w:p>
          <w:p w:rsidR="00437D0E" w:rsidRPr="00DA699F" w:rsidRDefault="00437D0E" w:rsidP="00437D0E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Martina Říhová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- věci notářů:</w:t>
            </w:r>
          </w:p>
          <w:p w:rsidR="00437D0E" w:rsidRPr="00DA699F" w:rsidRDefault="00437D0E" w:rsidP="00FE37D9">
            <w:pPr>
              <w:spacing w:line="20" w:lineRule="atLeast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Mgr. Trčkové </w:t>
            </w:r>
          </w:p>
          <w:p w:rsidR="00437D0E" w:rsidRPr="00DA699F" w:rsidRDefault="00437D0E" w:rsidP="00FE37D9">
            <w:pPr>
              <w:spacing w:line="20" w:lineRule="atLeast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Mgr. </w:t>
            </w:r>
            <w:proofErr w:type="spellStart"/>
            <w:r w:rsidRPr="00DA699F">
              <w:rPr>
                <w:b/>
                <w:color w:val="000000" w:themeColor="text1"/>
                <w:sz w:val="24"/>
                <w:szCs w:val="24"/>
              </w:rPr>
              <w:t>Mirafuentes</w:t>
            </w:r>
            <w:proofErr w:type="spellEnd"/>
          </w:p>
          <w:p w:rsidR="00437D0E" w:rsidRPr="00DA699F" w:rsidRDefault="00437D0E" w:rsidP="00437D0E">
            <w:pPr>
              <w:spacing w:line="2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 xml:space="preserve">Bronislava Dobešová 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Dana Kyjaňová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</w:t>
            </w:r>
          </w:p>
          <w:p w:rsidR="00437D0E" w:rsidRPr="00DA699F" w:rsidRDefault="00437D0E" w:rsidP="00FE37D9">
            <w:pPr>
              <w:spacing w:line="20" w:lineRule="atLeast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b/>
                <w:color w:val="000000" w:themeColor="text1"/>
                <w:sz w:val="24"/>
                <w:szCs w:val="24"/>
              </w:rPr>
              <w:t>  </w:t>
            </w:r>
          </w:p>
        </w:tc>
      </w:tr>
      <w:tr w:rsidR="00437D0E" w:rsidRPr="00DA699F" w:rsidTr="00FE37D9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D0E" w:rsidRPr="00DA699F" w:rsidRDefault="00437D0E" w:rsidP="00FE37D9">
            <w:pPr>
              <w:spacing w:line="31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699F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7D0E" w:rsidRPr="00DA699F" w:rsidRDefault="00437D0E" w:rsidP="00FE37D9">
            <w:pPr>
              <w:spacing w:line="240" w:lineRule="atLeas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DA699F">
              <w:rPr>
                <w:i/>
                <w:color w:val="000000" w:themeColor="text1"/>
                <w:sz w:val="24"/>
                <w:szCs w:val="24"/>
              </w:rPr>
              <w:t>Mgr. Vladimír Polák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D0E" w:rsidRPr="00DA699F" w:rsidRDefault="00437D0E" w:rsidP="00FE37D9">
            <w:pPr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DA699F">
              <w:rPr>
                <w:i/>
                <w:color w:val="000000" w:themeColor="text1"/>
                <w:sz w:val="24"/>
                <w:szCs w:val="24"/>
              </w:rPr>
              <w:t xml:space="preserve"> vzájemný zástup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7D0E" w:rsidRPr="00DA699F" w:rsidRDefault="00437D0E" w:rsidP="00FE37D9">
            <w:pPr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DA699F">
              <w:rPr>
                <w:i/>
                <w:color w:val="000000" w:themeColor="text1"/>
                <w:sz w:val="24"/>
                <w:szCs w:val="24"/>
              </w:rPr>
              <w:t>vzájemný zástup</w:t>
            </w:r>
          </w:p>
        </w:tc>
      </w:tr>
    </w:tbl>
    <w:p w:rsidR="00437D0E" w:rsidRPr="00DA699F" w:rsidRDefault="00437D0E" w:rsidP="00437D0E">
      <w:pPr>
        <w:jc w:val="both"/>
        <w:rPr>
          <w:color w:val="000000" w:themeColor="text1"/>
          <w:sz w:val="24"/>
          <w:szCs w:val="24"/>
        </w:rPr>
      </w:pPr>
    </w:p>
    <w:p w:rsidR="00911AAE" w:rsidRPr="00DA699F" w:rsidRDefault="00911AAE" w:rsidP="00911AA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Odstavce 4 až 6 pod tabulkou se mění tak, že nově zní:</w:t>
      </w:r>
    </w:p>
    <w:p w:rsidR="00911AAE" w:rsidRPr="00DA699F" w:rsidRDefault="00911AAE" w:rsidP="003F7A8B">
      <w:pPr>
        <w:pStyle w:val="Bezmezer"/>
        <w:ind w:left="709"/>
        <w:jc w:val="both"/>
        <w:rPr>
          <w:rFonts w:ascii="Garamond" w:hAnsi="Garamond"/>
          <w:sz w:val="24"/>
          <w:szCs w:val="24"/>
        </w:rPr>
      </w:pPr>
      <w:r w:rsidRPr="00DA699F">
        <w:rPr>
          <w:rFonts w:ascii="Garamond" w:hAnsi="Garamond"/>
          <w:sz w:val="24"/>
          <w:szCs w:val="24"/>
        </w:rPr>
        <w:t xml:space="preserve">Věci v rejstřících  </w:t>
      </w:r>
      <w:proofErr w:type="spellStart"/>
      <w:r w:rsidRPr="00DA699F">
        <w:rPr>
          <w:rFonts w:ascii="Garamond" w:hAnsi="Garamond"/>
          <w:sz w:val="24"/>
          <w:szCs w:val="24"/>
        </w:rPr>
        <w:t>Sd</w:t>
      </w:r>
      <w:proofErr w:type="spellEnd"/>
      <w:r w:rsidRPr="00DA699F">
        <w:rPr>
          <w:rFonts w:ascii="Garamond" w:hAnsi="Garamond"/>
          <w:sz w:val="24"/>
          <w:szCs w:val="24"/>
        </w:rPr>
        <w:t xml:space="preserve">, U a 82 </w:t>
      </w:r>
      <w:proofErr w:type="spellStart"/>
      <w:r w:rsidRPr="00DA699F">
        <w:rPr>
          <w:rFonts w:ascii="Garamond" w:hAnsi="Garamond"/>
          <w:sz w:val="24"/>
          <w:szCs w:val="24"/>
        </w:rPr>
        <w:t>Nc</w:t>
      </w:r>
      <w:proofErr w:type="spellEnd"/>
      <w:r w:rsidRPr="00DA699F">
        <w:rPr>
          <w:rFonts w:ascii="Garamond" w:hAnsi="Garamond"/>
          <w:sz w:val="24"/>
          <w:szCs w:val="24"/>
        </w:rPr>
        <w:t xml:space="preserve"> se přidělí vyšším soudním úředníkům postupně podle pořadí jejich nápadu nejdříve </w:t>
      </w:r>
      <w:r w:rsidR="007023AB" w:rsidRPr="00DA699F">
        <w:rPr>
          <w:rFonts w:ascii="Garamond" w:hAnsi="Garamond"/>
          <w:sz w:val="24"/>
          <w:szCs w:val="24"/>
        </w:rPr>
        <w:t>Ivetě Havranové a</w:t>
      </w:r>
      <w:r w:rsidRPr="00DA699F">
        <w:rPr>
          <w:rFonts w:ascii="Garamond" w:hAnsi="Garamond"/>
          <w:sz w:val="24"/>
          <w:szCs w:val="24"/>
        </w:rPr>
        <w:t xml:space="preserve"> následně Martině Říhové.</w:t>
      </w:r>
    </w:p>
    <w:p w:rsidR="00911AAE" w:rsidRPr="00DA699F" w:rsidRDefault="00911AAE" w:rsidP="003F7A8B">
      <w:pPr>
        <w:pStyle w:val="Bezmezer"/>
        <w:ind w:left="709"/>
        <w:jc w:val="both"/>
        <w:rPr>
          <w:rFonts w:ascii="Garamond" w:hAnsi="Garamond"/>
          <w:sz w:val="24"/>
          <w:szCs w:val="24"/>
        </w:rPr>
      </w:pPr>
    </w:p>
    <w:p w:rsidR="00911AAE" w:rsidRPr="00DA699F" w:rsidRDefault="00911AAE" w:rsidP="003F7A8B">
      <w:pPr>
        <w:pStyle w:val="Bezmezer"/>
        <w:ind w:left="709"/>
        <w:jc w:val="both"/>
        <w:rPr>
          <w:rFonts w:ascii="Garamond" w:hAnsi="Garamond"/>
          <w:sz w:val="24"/>
          <w:szCs w:val="24"/>
        </w:rPr>
      </w:pPr>
      <w:r w:rsidRPr="00DA699F">
        <w:rPr>
          <w:rFonts w:ascii="Garamond" w:hAnsi="Garamond"/>
          <w:sz w:val="24"/>
          <w:szCs w:val="24"/>
        </w:rPr>
        <w:t>Knihu úschov vede Dana Kyjaňová, zastupuje ji Bronislava Dobešová po provedené inventarizaci.</w:t>
      </w:r>
    </w:p>
    <w:p w:rsidR="00911AAE" w:rsidRPr="00DA699F" w:rsidRDefault="00911AAE" w:rsidP="003F7A8B">
      <w:pPr>
        <w:pStyle w:val="Bezmezer"/>
        <w:ind w:left="709"/>
        <w:jc w:val="both"/>
        <w:rPr>
          <w:rFonts w:ascii="Garamond" w:hAnsi="Garamond"/>
          <w:sz w:val="24"/>
          <w:szCs w:val="24"/>
        </w:rPr>
      </w:pPr>
    </w:p>
    <w:p w:rsidR="00911AAE" w:rsidRPr="00DA699F" w:rsidRDefault="00911AAE" w:rsidP="003F7A8B">
      <w:pPr>
        <w:pStyle w:val="Bezmezer"/>
        <w:ind w:left="709"/>
        <w:jc w:val="both"/>
        <w:rPr>
          <w:rFonts w:ascii="Garamond" w:hAnsi="Garamond"/>
          <w:sz w:val="24"/>
          <w:szCs w:val="24"/>
        </w:rPr>
      </w:pPr>
      <w:r w:rsidRPr="00DA699F">
        <w:rPr>
          <w:rFonts w:ascii="Garamond" w:hAnsi="Garamond"/>
          <w:sz w:val="24"/>
          <w:szCs w:val="24"/>
        </w:rPr>
        <w:t>Přístup do kovové skříně soudu mají JUDr. Radim Švec a Dana Kyjaňová, kterou zastupuje Bronislava Dobešová.</w:t>
      </w:r>
    </w:p>
    <w:p w:rsidR="00911AAE" w:rsidRPr="00DA699F" w:rsidRDefault="00911AAE" w:rsidP="00911AAE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11AAE" w:rsidRPr="00DA699F" w:rsidRDefault="00911AAE" w:rsidP="00911AAE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Odstavec 7 pod tabulkou se vypouští.</w:t>
      </w:r>
    </w:p>
    <w:p w:rsidR="007023AB" w:rsidRPr="00DA699F" w:rsidRDefault="007023AB" w:rsidP="007023AB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C369C" w:rsidRPr="00DA699F" w:rsidRDefault="003F7A8B" w:rsidP="000C369C">
      <w:pPr>
        <w:shd w:val="clear" w:color="auto" w:fill="FFFFFF"/>
        <w:spacing w:after="100" w:line="384" w:lineRule="atLeast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4. Oddíl</w:t>
      </w:r>
      <w:r w:rsidR="000C369C" w:rsidRPr="00DA699F">
        <w:rPr>
          <w:rFonts w:ascii="Garamond" w:hAnsi="Garamond"/>
          <w:color w:val="000000" w:themeColor="text1"/>
          <w:sz w:val="24"/>
          <w:szCs w:val="24"/>
        </w:rPr>
        <w:t xml:space="preserve"> VI. Úsek občanskoprávní – výkon rozhodnutí a exekuce:</w:t>
      </w:r>
    </w:p>
    <w:p w:rsidR="000C369C" w:rsidRPr="00DA699F" w:rsidRDefault="000C369C" w:rsidP="000C369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Vzhledem ke skončení pracovního poměru vyšší soudního úředníka Petra Bubeníka a vyšší soudní úřednice Kateřiny Kubínové se tabulka soudních oddělení mění takto:</w:t>
      </w:r>
    </w:p>
    <w:p w:rsidR="000C369C" w:rsidRPr="00DA699F" w:rsidRDefault="000C369C" w:rsidP="000C369C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76"/>
        <w:gridCol w:w="2134"/>
        <w:gridCol w:w="2179"/>
        <w:gridCol w:w="1629"/>
      </w:tblGrid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0C369C">
            <w:pPr>
              <w:pStyle w:val="Odstavecseseznamem"/>
              <w:numPr>
                <w:ilvl w:val="0"/>
                <w:numId w:val="1"/>
              </w:num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lastRenderedPageBreak/>
              <w:t xml:space="preserve">Soudní oddělení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Zapisovatelka </w:t>
            </w: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46 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56 EXE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51 EXE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45 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51 </w:t>
            </w:r>
            <w:proofErr w:type="spellStart"/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28 </w:t>
            </w:r>
            <w:proofErr w:type="spellStart"/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JUDr. Radim Švec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Iveta Havranová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Martina Říhová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Martina Jurková (45 E, 46 E, 56 EXE)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Soňa Ryšková (56 EXE)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Petra Sušilová (56 EXE)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DA699F">
              <w:rPr>
                <w:rFonts w:ascii="Garamond" w:hAnsi="Garamond"/>
                <w:b/>
                <w:color w:val="000000" w:themeColor="text1"/>
              </w:rPr>
              <w:t>Bronislava Dobešová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</w:rPr>
              <w:t xml:space="preserve"> a Dana Kyjaňová</w:t>
            </w: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A699F">
              <w:rPr>
                <w:rFonts w:ascii="Garamond" w:hAnsi="Garamond"/>
                <w:b/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trike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Miroslava Káňová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A699F">
              <w:rPr>
                <w:rFonts w:ascii="Garamond" w:hAnsi="Garamond"/>
                <w:i/>
                <w:sz w:val="24"/>
                <w:szCs w:val="24"/>
              </w:rPr>
              <w:t>vzájemný zástup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vzájemný zástup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strike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  100 % nápadu E a EXE</w:t>
            </w:r>
          </w:p>
          <w:p w:rsidR="000C369C" w:rsidRPr="00DA699F" w:rsidRDefault="000C369C" w:rsidP="00FE37D9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color w:val="000000" w:themeColor="text1"/>
                <w:sz w:val="24"/>
                <w:szCs w:val="24"/>
              </w:rPr>
              <w:t>- 1/3 z 51 EXE činnost soudu před nařízením výkonu rozhodnutí dle § 260 o.s.ř. a prohlášení o majetku dle § 260a o.s.ř.</w:t>
            </w:r>
          </w:p>
          <w:p w:rsidR="000C369C" w:rsidRPr="00DA699F" w:rsidRDefault="000C369C" w:rsidP="00FE37D9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- 1/3 z 51 </w:t>
            </w:r>
            <w:proofErr w:type="spellStart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nejasná podání</w:t>
            </w:r>
          </w:p>
          <w:p w:rsidR="000C369C" w:rsidRPr="00DA699F" w:rsidRDefault="000C369C" w:rsidP="00FE37D9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color w:val="000000" w:themeColor="text1"/>
                <w:sz w:val="24"/>
                <w:szCs w:val="24"/>
              </w:rPr>
              <w:t>- 1/3 ze specializace srážek ze mzdy, správy nemovitých věcí, prodeje nemovitých věcí a postižení závodu</w:t>
            </w:r>
          </w:p>
          <w:p w:rsidR="000C369C" w:rsidRPr="00DA699F" w:rsidRDefault="000C369C" w:rsidP="00FE37D9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- 1/3 z 28 </w:t>
            </w:r>
            <w:proofErr w:type="spellStart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Nc</w:t>
            </w:r>
            <w:proofErr w:type="spellEnd"/>
          </w:p>
        </w:tc>
      </w:tr>
    </w:tbl>
    <w:p w:rsidR="000C369C" w:rsidRPr="00DA699F" w:rsidRDefault="000C369C" w:rsidP="000C369C">
      <w:pPr>
        <w:shd w:val="clear" w:color="auto" w:fill="FFFFFF"/>
        <w:spacing w:after="100"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76"/>
        <w:gridCol w:w="2134"/>
        <w:gridCol w:w="2321"/>
        <w:gridCol w:w="1487"/>
      </w:tblGrid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Zapisovatelka </w:t>
            </w: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47 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57 EXE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51 EXE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45 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lastRenderedPageBreak/>
              <w:t xml:space="preserve">51 </w:t>
            </w:r>
            <w:proofErr w:type="spellStart"/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28 </w:t>
            </w:r>
            <w:proofErr w:type="spellStart"/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lastRenderedPageBreak/>
              <w:t>JUDr. Radim Švec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Iveta Havranová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Ing. Kateřina Vrbicová (57 EXE)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 xml:space="preserve">JUDr. Hana Havránková (57 </w:t>
            </w:r>
            <w:r w:rsidRPr="00DA699F">
              <w:rPr>
                <w:rFonts w:ascii="Garamond" w:hAnsi="Garamond"/>
                <w:b/>
                <w:sz w:val="24"/>
                <w:szCs w:val="24"/>
              </w:rPr>
              <w:lastRenderedPageBreak/>
              <w:t>EXE)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JUDr. Pavla Nippertová (57 EXE)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</w:rPr>
            </w:pPr>
            <w:r w:rsidRPr="00DA699F">
              <w:rPr>
                <w:rFonts w:ascii="Garamond" w:hAnsi="Garamond"/>
                <w:b/>
              </w:rPr>
              <w:lastRenderedPageBreak/>
              <w:t>Bronislava Dobešová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</w:rPr>
            </w:pP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</w:rPr>
            </w:pPr>
            <w:r w:rsidRPr="00DA699F">
              <w:rPr>
                <w:rFonts w:ascii="Garamond" w:hAnsi="Garamond"/>
                <w:b/>
              </w:rPr>
              <w:t xml:space="preserve">Dana Kyjaňová </w:t>
            </w:r>
            <w:r w:rsidRPr="00DA699F">
              <w:rPr>
                <w:rFonts w:ascii="Garamond" w:hAnsi="Garamond"/>
                <w:b/>
                <w:strike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trike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Miroslava Káňová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i/>
                <w:sz w:val="24"/>
                <w:szCs w:val="24"/>
              </w:rPr>
              <w:t>vzájemný zástup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vzájemný zástup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strike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  100 % nápadu E a EXE</w:t>
            </w:r>
          </w:p>
          <w:p w:rsidR="000C369C" w:rsidRPr="00DA699F" w:rsidRDefault="000C369C" w:rsidP="00FE37D9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color w:val="000000" w:themeColor="text1"/>
                <w:sz w:val="24"/>
                <w:szCs w:val="24"/>
              </w:rPr>
              <w:t>- 1/3 z 51 EXE činnost soudu před nařízením výkonu rozhodnutí dle § 260 o.s.ř. a prohlášení o majetku dle § 260a o.s.ř.</w:t>
            </w:r>
          </w:p>
          <w:p w:rsidR="000C369C" w:rsidRPr="00DA699F" w:rsidRDefault="000C369C" w:rsidP="00FE37D9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- 1/3 z 51 </w:t>
            </w:r>
            <w:proofErr w:type="spellStart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nejasná podání</w:t>
            </w:r>
          </w:p>
          <w:p w:rsidR="000C369C" w:rsidRPr="00DA699F" w:rsidRDefault="000C369C" w:rsidP="00FE37D9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color w:val="000000" w:themeColor="text1"/>
                <w:sz w:val="24"/>
                <w:szCs w:val="24"/>
              </w:rPr>
              <w:t>- 1/3 ze specializace srážek ze mzdy, správy nemovitých věcí, prodeje nemovitých věcí a postižení závodu</w:t>
            </w:r>
          </w:p>
          <w:p w:rsidR="000C369C" w:rsidRPr="00DA699F" w:rsidRDefault="000C369C" w:rsidP="00FE37D9">
            <w:pPr>
              <w:pStyle w:val="Bezmezer"/>
              <w:spacing w:line="240" w:lineRule="atLeast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- 1/3 z 28 </w:t>
            </w:r>
            <w:proofErr w:type="spellStart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C369C" w:rsidRPr="00DA699F" w:rsidRDefault="000C369C" w:rsidP="000C369C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0C369C" w:rsidRPr="00DA699F" w:rsidRDefault="000C369C" w:rsidP="000C369C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76"/>
        <w:gridCol w:w="2134"/>
        <w:gridCol w:w="2179"/>
        <w:gridCol w:w="1629"/>
      </w:tblGrid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Vyšší soudní úřednice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Zapisovatelka </w:t>
            </w: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Zástupce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Zástupce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48 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58 EXE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51 EXE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45 E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51 </w:t>
            </w:r>
            <w:proofErr w:type="spellStart"/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28 </w:t>
            </w:r>
            <w:proofErr w:type="spellStart"/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JUDr. Radim Švec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Martina Říhová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Zdeňka Podstavková (58 EXE)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Lenka Richterová (58 EXE)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  <w:sz w:val="24"/>
                <w:szCs w:val="24"/>
              </w:rPr>
              <w:t>Marcela Khunová (58 EXE)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</w:rPr>
            </w:pPr>
            <w:r w:rsidRPr="00DA699F">
              <w:rPr>
                <w:rFonts w:ascii="Garamond" w:hAnsi="Garamond"/>
                <w:b/>
              </w:rPr>
              <w:t>Dana Kyjaňová</w:t>
            </w: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</w:rPr>
            </w:pPr>
          </w:p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A699F">
              <w:rPr>
                <w:rFonts w:ascii="Garamond" w:hAnsi="Garamond"/>
                <w:b/>
              </w:rPr>
              <w:t>Bronislava Dobešová</w:t>
            </w:r>
            <w:r w:rsidRPr="00DA699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DA699F">
              <w:rPr>
                <w:rFonts w:ascii="Garamond" w:hAnsi="Garamond"/>
                <w:b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b/>
                <w:strike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Miroslava Káňová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A699F">
              <w:rPr>
                <w:rFonts w:ascii="Garamond" w:hAnsi="Garamond"/>
                <w:i/>
                <w:sz w:val="24"/>
                <w:szCs w:val="24"/>
              </w:rPr>
              <w:t>vzájemný zástup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DA699F">
              <w:rPr>
                <w:rFonts w:ascii="Garamond" w:hAnsi="Garamond"/>
                <w:i/>
                <w:sz w:val="24"/>
                <w:szCs w:val="24"/>
              </w:rPr>
              <w:t>vzájemný zástup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312" w:lineRule="auto"/>
              <w:jc w:val="both"/>
              <w:rPr>
                <w:rFonts w:ascii="Garamond" w:hAnsi="Garamond"/>
                <w:i/>
                <w:strike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0C369C" w:rsidRPr="00DA699F" w:rsidTr="00FE37D9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8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69C" w:rsidRPr="00DA699F" w:rsidRDefault="000C369C" w:rsidP="00FE37D9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  100 % nápadu E a EXE</w:t>
            </w:r>
          </w:p>
          <w:p w:rsidR="000C369C" w:rsidRPr="00DA699F" w:rsidRDefault="000C369C" w:rsidP="00FE37D9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color w:val="000000" w:themeColor="text1"/>
                <w:sz w:val="24"/>
                <w:szCs w:val="24"/>
              </w:rPr>
              <w:t>- 1/3 z 51 EXE činnost soudu před nařízením výkonu rozhodnutí dle § 260 o.s.ř. a prohlášení o majetku dle § 260a o.s.ř.</w:t>
            </w:r>
          </w:p>
          <w:p w:rsidR="000C369C" w:rsidRPr="00DA699F" w:rsidRDefault="000C369C" w:rsidP="00FE37D9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- 1/3 z 51 </w:t>
            </w:r>
            <w:proofErr w:type="spellStart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nejasná podání</w:t>
            </w:r>
          </w:p>
          <w:p w:rsidR="000C369C" w:rsidRPr="00DA699F" w:rsidRDefault="000C369C" w:rsidP="00FE37D9">
            <w:pPr>
              <w:spacing w:line="240" w:lineRule="atLeast"/>
              <w:ind w:left="82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/>
                <w:color w:val="000000" w:themeColor="text1"/>
                <w:sz w:val="24"/>
                <w:szCs w:val="24"/>
              </w:rPr>
              <w:t>- 1/3 ze specializace srážek ze mzdy, správy nemovitých věcí, prodeje nemovitých věcí a postižení závodu</w:t>
            </w:r>
          </w:p>
          <w:p w:rsidR="000C369C" w:rsidRPr="00DA699F" w:rsidRDefault="000C369C" w:rsidP="00FE37D9">
            <w:pPr>
              <w:pStyle w:val="Bezmezer"/>
              <w:spacing w:line="240" w:lineRule="atLeast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- 1/3 z 28 </w:t>
            </w:r>
            <w:proofErr w:type="spellStart"/>
            <w:r w:rsidRPr="00DA699F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Nc</w:t>
            </w:r>
            <w:proofErr w:type="spellEnd"/>
          </w:p>
        </w:tc>
      </w:tr>
    </w:tbl>
    <w:p w:rsidR="000C369C" w:rsidRPr="00DA699F" w:rsidRDefault="000C369C" w:rsidP="000C369C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85A7C" w:rsidRPr="00DA699F" w:rsidRDefault="00A85A7C" w:rsidP="00A85A7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Odstavec 2 a 3 pod tabulkou se mění tak, že nově zní:</w:t>
      </w:r>
    </w:p>
    <w:p w:rsidR="00E4532D" w:rsidRPr="00DA699F" w:rsidRDefault="00A85A7C" w:rsidP="00D75943">
      <w:pPr>
        <w:ind w:left="426"/>
        <w:jc w:val="both"/>
        <w:rPr>
          <w:rFonts w:ascii="Garamond" w:hAnsi="Garamond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Vyšší soudní úřednice a asistentka zařazené na úseku občanskoprávním sporném řeší věci (pověřují exekutory) zapsané v rejstřících 56 E</w:t>
      </w:r>
      <w:r w:rsidR="007023AB" w:rsidRPr="00DA699F">
        <w:rPr>
          <w:rFonts w:ascii="Garamond" w:hAnsi="Garamond"/>
          <w:color w:val="000000" w:themeColor="text1"/>
          <w:sz w:val="24"/>
          <w:szCs w:val="24"/>
        </w:rPr>
        <w:t>XE, 57 EXE, 58 EXE. Věci jsou ji</w:t>
      </w: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m přidělovány postupně po jedné, a to v pořadí </w:t>
      </w:r>
      <w:r w:rsidR="007023AB" w:rsidRPr="00DA699F">
        <w:rPr>
          <w:rFonts w:ascii="Garamond" w:hAnsi="Garamond"/>
          <w:color w:val="000000" w:themeColor="text1"/>
          <w:sz w:val="24"/>
          <w:szCs w:val="24"/>
        </w:rPr>
        <w:t>jakém</w:t>
      </w: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 jsou uvedené v tabulce shora</w:t>
      </w:r>
      <w:r w:rsidRPr="00DA699F">
        <w:rPr>
          <w:rFonts w:ascii="Garamond" w:hAnsi="Garamond"/>
          <w:sz w:val="24"/>
          <w:szCs w:val="24"/>
        </w:rPr>
        <w:t xml:space="preserve">. </w:t>
      </w:r>
      <w:r w:rsidR="00D75943" w:rsidRPr="00DA699F">
        <w:rPr>
          <w:rFonts w:ascii="Garamond" w:hAnsi="Garamond"/>
          <w:sz w:val="24"/>
          <w:szCs w:val="24"/>
        </w:rPr>
        <w:t xml:space="preserve">Vyšší soudní úřednice Martina Jurová zařazená na úseku občanskoprávním sporném bude řešit </w:t>
      </w:r>
      <w:r w:rsidR="00E4532D" w:rsidRPr="00DA699F">
        <w:rPr>
          <w:rFonts w:ascii="Garamond" w:hAnsi="Garamond"/>
          <w:sz w:val="24"/>
          <w:szCs w:val="24"/>
        </w:rPr>
        <w:t>1/3</w:t>
      </w:r>
      <w:r w:rsidR="00D75943" w:rsidRPr="00DA699F">
        <w:rPr>
          <w:rFonts w:ascii="Garamond" w:hAnsi="Garamond"/>
          <w:sz w:val="24"/>
          <w:szCs w:val="24"/>
        </w:rPr>
        <w:t xml:space="preserve"> věcí zapsaných v rejstříku </w:t>
      </w:r>
      <w:r w:rsidR="00E4532D" w:rsidRPr="00DA699F">
        <w:rPr>
          <w:rFonts w:ascii="Garamond" w:hAnsi="Garamond"/>
          <w:sz w:val="24"/>
          <w:szCs w:val="24"/>
        </w:rPr>
        <w:t>45 E - výkon rozhodnutí srážkami ze mzdy a to věci s posledním kladným koncovým číslem 7, 8, 9.</w:t>
      </w:r>
    </w:p>
    <w:p w:rsidR="00A85A7C" w:rsidRPr="00DA699F" w:rsidRDefault="00A85A7C" w:rsidP="00D75943">
      <w:pPr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Soudní oddělení 43 E, 44 E, 52 EXE, 53 EXE, 54 EXE a 55 EXE se zrušují. Veškeré pravomocně neskončené věci, popřípadě věci obživlé, projedná a rozhodne JUDr. Radim Švec. Pokud bude nutné, aby ve věcech dříve napadlých do shora uvedených soudních oddělení učinil úkon vyšší soudní úředník, učiní tak dle koncového kladného čísla věci takto: 1, 2 , 3 –  Martina Říhová, 4, 5, 6 -  Iveta Havranová a v případě posledního koncového čísla 7, 8, 9 se věcí rozdělují - 7, 9 – Martina Říhová,  8 a 0 v případě, že je posledním koncovým číslem po 7, 8, 9 - Iveta Havranová.</w:t>
      </w:r>
    </w:p>
    <w:p w:rsidR="00A85A7C" w:rsidRPr="00DA699F" w:rsidRDefault="00A85A7C" w:rsidP="00A85A7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Odstavec 5 pod tabulkou se vypouští.</w:t>
      </w:r>
    </w:p>
    <w:p w:rsidR="00A85A7C" w:rsidRPr="00DA699F" w:rsidRDefault="00A85A7C" w:rsidP="00A85A7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Body 5 a 6 Zásad pro přidělování věcí nově zní:</w:t>
      </w:r>
    </w:p>
    <w:p w:rsidR="00A85A7C" w:rsidRPr="00DA699F" w:rsidRDefault="00A85A7C" w:rsidP="00A85A7C">
      <w:pPr>
        <w:ind w:left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DA699F">
        <w:rPr>
          <w:rFonts w:ascii="Garamond" w:hAnsi="Garamond"/>
          <w:b/>
          <w:color w:val="000000" w:themeColor="text1"/>
          <w:sz w:val="24"/>
          <w:szCs w:val="24"/>
        </w:rPr>
        <w:t>5.</w:t>
      </w: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A699F">
        <w:rPr>
          <w:rFonts w:ascii="Garamond" w:hAnsi="Garamond"/>
          <w:bCs/>
          <w:color w:val="000000" w:themeColor="text1"/>
          <w:sz w:val="24"/>
          <w:szCs w:val="24"/>
        </w:rPr>
        <w:t xml:space="preserve">Do rejstříku 28Nc se zapisují věci týkající se rozhodování o </w:t>
      </w:r>
      <w:proofErr w:type="spellStart"/>
      <w:r w:rsidRPr="00DA699F">
        <w:rPr>
          <w:rFonts w:ascii="Garamond" w:hAnsi="Garamond"/>
          <w:bCs/>
          <w:color w:val="000000" w:themeColor="text1"/>
          <w:sz w:val="24"/>
          <w:szCs w:val="24"/>
        </w:rPr>
        <w:t>předražcích</w:t>
      </w:r>
      <w:proofErr w:type="spellEnd"/>
      <w:r w:rsidRPr="00DA699F">
        <w:rPr>
          <w:rFonts w:ascii="Garamond" w:hAnsi="Garamond"/>
          <w:bCs/>
          <w:color w:val="000000" w:themeColor="text1"/>
          <w:sz w:val="24"/>
          <w:szCs w:val="24"/>
        </w:rPr>
        <w:t xml:space="preserve">, které vyřizuje soudce JUDr. Švec a vyšší soudní úřednice Iveta Havranová, rejstřík vede Bronislava Dobešová. </w:t>
      </w:r>
    </w:p>
    <w:p w:rsidR="00A85A7C" w:rsidRPr="00DA699F" w:rsidRDefault="00A85A7C" w:rsidP="00A85A7C">
      <w:pPr>
        <w:ind w:left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b/>
          <w:color w:val="000000" w:themeColor="text1"/>
          <w:sz w:val="24"/>
          <w:szCs w:val="24"/>
        </w:rPr>
        <w:t>6.</w:t>
      </w: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 Věci 51 EXE, 51 </w:t>
      </w:r>
      <w:proofErr w:type="spellStart"/>
      <w:r w:rsidRPr="00DA699F">
        <w:rPr>
          <w:rFonts w:ascii="Garamond" w:hAnsi="Garamond"/>
          <w:color w:val="000000" w:themeColor="text1"/>
          <w:sz w:val="24"/>
          <w:szCs w:val="24"/>
        </w:rPr>
        <w:t>Nc</w:t>
      </w:r>
      <w:proofErr w:type="spellEnd"/>
      <w:r w:rsidRPr="00DA699F">
        <w:rPr>
          <w:rFonts w:ascii="Garamond" w:hAnsi="Garamond"/>
          <w:color w:val="000000" w:themeColor="text1"/>
          <w:sz w:val="24"/>
          <w:szCs w:val="24"/>
        </w:rPr>
        <w:t>, 45 E a dříve napadlé věci EXE nebo E (vyjma oddělení 56, 57, 58) jsou vyšším soudním úředníkům přidělovány dle koncového kladného běžného čísla rejstříku takto: 1,2,3 – Martina Říhová; 4,5,6 Iveta Havranová; a v případě posledního koncového čísla 7, 8, 9 se věcí rozdělují  7, 9 Martina Říhová,  8 a 0 v případě, že je posledním koncovým číslem po 7, 8, 9 - Iveta Havranová</w:t>
      </w:r>
      <w:r w:rsidR="00E4532D" w:rsidRPr="00DA699F">
        <w:rPr>
          <w:rFonts w:ascii="Garamond" w:hAnsi="Garamond"/>
          <w:color w:val="000000" w:themeColor="text1"/>
          <w:sz w:val="24"/>
          <w:szCs w:val="24"/>
        </w:rPr>
        <w:t xml:space="preserve"> – agendy 51 EXE a 51 </w:t>
      </w:r>
      <w:proofErr w:type="spellStart"/>
      <w:r w:rsidR="00E4532D" w:rsidRPr="00DA699F">
        <w:rPr>
          <w:rFonts w:ascii="Garamond" w:hAnsi="Garamond"/>
          <w:color w:val="000000" w:themeColor="text1"/>
          <w:sz w:val="24"/>
          <w:szCs w:val="24"/>
        </w:rPr>
        <w:t>Nc</w:t>
      </w:r>
      <w:proofErr w:type="spellEnd"/>
      <w:r w:rsidR="00E4532D" w:rsidRPr="00DA699F">
        <w:rPr>
          <w:rFonts w:ascii="Garamond" w:hAnsi="Garamond"/>
          <w:color w:val="000000" w:themeColor="text1"/>
          <w:sz w:val="24"/>
          <w:szCs w:val="24"/>
        </w:rPr>
        <w:t>. Věci rejstříku 45 E jsou rozdělovány dle koncového kladného čísla věci takto: 1, 2 , 3 –  Martina Říhová, 4, 5, 6 -  Iveta Havranová, 7, 8, 9 Martina Jurková.</w:t>
      </w:r>
    </w:p>
    <w:p w:rsidR="00A85A7C" w:rsidRPr="00DA699F" w:rsidRDefault="00A85A7C" w:rsidP="00A85A7C">
      <w:pPr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-  Věta „Samotný výkon rozhodnutí prodejem movitých věcí a vyklizení provádí Petr Bubeník, kterého jako první v pořadí zastupuje Iveta Havranová a jako druhá Kateřina Kubínová“ se mění tak, že nově zní „Samotný výkon rozhodnutí prodejem movitých věcí a vyklizení provádí soudní vykonavatel Miroslav Rosa, kterého jako první v pořadí zastupuje Iveta Havranová a jako druhý Martina Říhová. Soudní vykonavatel je jako úřední osoba oprávněn k provádění daňových exekucí prodejem movitých věcí, dále je pověřen vedením soudního archivu nacházejícího se v budově soudu na ulici Divadelní.“</w:t>
      </w:r>
    </w:p>
    <w:p w:rsidR="008060D8" w:rsidRPr="00DA699F" w:rsidRDefault="008060D8" w:rsidP="00A85A7C">
      <w:pPr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-  Odstavec o výkonu rozhodnutí včetně výkonů předběžných opatření upravujících poměry nezletilého dítěte a výkonů rozhodnutí ve věcech ochrany proti domácímu násilí nově zní: Výkon rozhodnutí včetně </w:t>
      </w:r>
      <w:r w:rsidRPr="00DA699F">
        <w:rPr>
          <w:rFonts w:ascii="Garamond" w:hAnsi="Garamond"/>
          <w:sz w:val="24"/>
          <w:szCs w:val="24"/>
        </w:rPr>
        <w:t>výkonu předběžných opatření podle občanského soudního řádu a zákona o zvláštních řízeních soudních</w:t>
      </w: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 provádí soudní vykonavatel Miroslav Rosa. Soudního vykonavatele</w:t>
      </w:r>
      <w:r w:rsidR="00E4532D" w:rsidRPr="00DA69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zastupuje jako první v pořadí vyšší soudní úřednice Martina Říhová, jako druhá vyšší soudní úřednice Iveta Havranová. </w:t>
      </w:r>
    </w:p>
    <w:p w:rsidR="00A85A7C" w:rsidRPr="00DA699F" w:rsidRDefault="00A85A7C" w:rsidP="008060D8">
      <w:pPr>
        <w:ind w:left="709" w:hanging="283"/>
        <w:jc w:val="both"/>
        <w:rPr>
          <w:rFonts w:ascii="Garamond" w:hAnsi="Garamond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- </w:t>
      </w:r>
      <w:r w:rsidR="008060D8" w:rsidRPr="00DA69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A699F">
        <w:rPr>
          <w:rFonts w:ascii="Garamond" w:hAnsi="Garamond"/>
          <w:color w:val="000000" w:themeColor="text1"/>
          <w:sz w:val="24"/>
          <w:szCs w:val="24"/>
        </w:rPr>
        <w:t>Odstavec o výkonu předběžných opatření upravujících poměry nezletilého dítěte a výkonu rozhodnutí ve věcech ochrany proti domácímu násilí</w:t>
      </w:r>
      <w:r w:rsidR="008060D8" w:rsidRPr="00DA699F">
        <w:rPr>
          <w:rFonts w:ascii="Garamond" w:hAnsi="Garamond"/>
          <w:color w:val="000000" w:themeColor="text1"/>
          <w:sz w:val="24"/>
          <w:szCs w:val="24"/>
        </w:rPr>
        <w:t xml:space="preserve"> nově zní: </w:t>
      </w:r>
      <w:r w:rsidRPr="00DA699F">
        <w:rPr>
          <w:rFonts w:ascii="Garamond" w:hAnsi="Garamond"/>
          <w:sz w:val="24"/>
          <w:szCs w:val="24"/>
        </w:rPr>
        <w:t>Výkon předběžných opatření</w:t>
      </w:r>
      <w:r w:rsidR="008060D8" w:rsidRPr="00DA699F">
        <w:rPr>
          <w:rFonts w:ascii="Garamond" w:hAnsi="Garamond"/>
          <w:sz w:val="24"/>
          <w:szCs w:val="24"/>
        </w:rPr>
        <w:t xml:space="preserve"> podle občanského soudního řádu a zákona o zvláštních řízeních soudních</w:t>
      </w:r>
      <w:r w:rsidR="008060D8" w:rsidRPr="00DA699F">
        <w:rPr>
          <w:rFonts w:ascii="Garamond" w:hAnsi="Garamond"/>
          <w:color w:val="000000" w:themeColor="text1"/>
          <w:sz w:val="24"/>
          <w:szCs w:val="24"/>
        </w:rPr>
        <w:t>, které se vykonávají mimo pružnou pracovní dobu, popř. v pružné pracovní době při nepřítomnosti vykonavatele nebo nesnese-li výkon odkladu,</w:t>
      </w:r>
      <w:r w:rsidRPr="00DA699F">
        <w:rPr>
          <w:rFonts w:ascii="Garamond" w:hAnsi="Garamond"/>
          <w:sz w:val="24"/>
          <w:szCs w:val="24"/>
        </w:rPr>
        <w:t xml:space="preserve"> provádí asistentka a vyšší soudní úřednice úseku občansk</w:t>
      </w:r>
      <w:r w:rsidR="007023AB" w:rsidRPr="00DA699F">
        <w:rPr>
          <w:rFonts w:ascii="Garamond" w:hAnsi="Garamond"/>
          <w:sz w:val="24"/>
          <w:szCs w:val="24"/>
        </w:rPr>
        <w:t>oprávního sporného;</w:t>
      </w:r>
      <w:r w:rsidRPr="00DA699F">
        <w:rPr>
          <w:rFonts w:ascii="Garamond" w:hAnsi="Garamond"/>
          <w:sz w:val="24"/>
          <w:szCs w:val="24"/>
        </w:rPr>
        <w:t xml:space="preserve"> asistentka, vyšší soudní úřednice a tajemnice úseku </w:t>
      </w:r>
      <w:r w:rsidRPr="00DA699F">
        <w:rPr>
          <w:rFonts w:ascii="Garamond" w:hAnsi="Garamond"/>
          <w:color w:val="000000" w:themeColor="text1"/>
          <w:sz w:val="24"/>
          <w:szCs w:val="24"/>
        </w:rPr>
        <w:t>občanskoprávního opatrovnického a péče o nezletilé</w:t>
      </w:r>
      <w:r w:rsidR="007023AB" w:rsidRPr="00DA699F">
        <w:rPr>
          <w:rFonts w:ascii="Garamond" w:hAnsi="Garamond"/>
          <w:color w:val="000000" w:themeColor="text1"/>
          <w:sz w:val="24"/>
          <w:szCs w:val="24"/>
        </w:rPr>
        <w:t>;</w:t>
      </w: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060D8" w:rsidRPr="00DA699F">
        <w:rPr>
          <w:rFonts w:ascii="Garamond" w:hAnsi="Garamond"/>
          <w:color w:val="000000" w:themeColor="text1"/>
          <w:sz w:val="24"/>
          <w:szCs w:val="24"/>
        </w:rPr>
        <w:t>vyšší soudní úřednice úseku výkonu rozhodnutí a e</w:t>
      </w:r>
      <w:r w:rsidR="007023AB" w:rsidRPr="00DA699F">
        <w:rPr>
          <w:rFonts w:ascii="Garamond" w:hAnsi="Garamond"/>
          <w:color w:val="000000" w:themeColor="text1"/>
          <w:sz w:val="24"/>
          <w:szCs w:val="24"/>
        </w:rPr>
        <w:t>xekucí;</w:t>
      </w:r>
      <w:r w:rsidR="008060D8" w:rsidRPr="00DA699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A699F">
        <w:rPr>
          <w:rFonts w:ascii="Garamond" w:hAnsi="Garamond"/>
          <w:color w:val="000000" w:themeColor="text1"/>
          <w:sz w:val="24"/>
          <w:szCs w:val="24"/>
        </w:rPr>
        <w:t>soudní vykonavatel a soudci, kteří s prováděním výkon</w:t>
      </w:r>
      <w:r w:rsidR="008060D8" w:rsidRPr="00DA699F">
        <w:rPr>
          <w:rFonts w:ascii="Garamond" w:hAnsi="Garamond"/>
          <w:color w:val="000000" w:themeColor="text1"/>
          <w:sz w:val="24"/>
          <w:szCs w:val="24"/>
        </w:rPr>
        <w:t xml:space="preserve">u rozhodnutí vyslovili souhlas. </w:t>
      </w:r>
      <w:r w:rsidRPr="00DA699F">
        <w:rPr>
          <w:rFonts w:ascii="Garamond" w:hAnsi="Garamond"/>
          <w:color w:val="000000" w:themeColor="text1"/>
          <w:sz w:val="24"/>
          <w:szCs w:val="24"/>
        </w:rPr>
        <w:t>Přehled nařízené pracovní pohotovosti pro výkon předběžných opatření je uložen na správě soudu.</w:t>
      </w:r>
      <w:r w:rsidR="00C70DDD" w:rsidRPr="00DA699F">
        <w:rPr>
          <w:rFonts w:ascii="Garamond" w:hAnsi="Garamond"/>
          <w:color w:val="000000" w:themeColor="text1"/>
          <w:sz w:val="24"/>
          <w:szCs w:val="24"/>
        </w:rPr>
        <w:t xml:space="preserve"> Plán pracovní pohotovosti stanoví, a to včetně případných změn, místopředseda okresního soudu. </w:t>
      </w:r>
    </w:p>
    <w:p w:rsidR="00A85A7C" w:rsidRPr="00DA699F" w:rsidRDefault="00A85A7C" w:rsidP="00A85A7C">
      <w:pPr>
        <w:pStyle w:val="Odstavecseseznamem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85A7C" w:rsidRPr="00DA699F" w:rsidRDefault="00BB77D9" w:rsidP="00A85A7C">
      <w:pPr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Nový Jičín dne 25.3.2019 </w:t>
      </w:r>
    </w:p>
    <w:p w:rsidR="00BB77D9" w:rsidRPr="00DA699F" w:rsidRDefault="00BB77D9" w:rsidP="00A85A7C">
      <w:pPr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B77D9" w:rsidRPr="00DA699F" w:rsidRDefault="00BB77D9" w:rsidP="00BB77D9">
      <w:pPr>
        <w:ind w:left="360"/>
        <w:jc w:val="right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>JUDr. Vít Veselý</w:t>
      </w:r>
    </w:p>
    <w:p w:rsidR="00BB77D9" w:rsidRPr="00DA699F" w:rsidRDefault="00BB77D9" w:rsidP="00BB77D9">
      <w:pPr>
        <w:ind w:left="360"/>
        <w:jc w:val="right"/>
        <w:rPr>
          <w:rFonts w:ascii="Garamond" w:hAnsi="Garamond"/>
          <w:color w:val="000000" w:themeColor="text1"/>
          <w:sz w:val="24"/>
          <w:szCs w:val="24"/>
        </w:rPr>
      </w:pPr>
      <w:r w:rsidRPr="00DA699F">
        <w:rPr>
          <w:rFonts w:ascii="Garamond" w:hAnsi="Garamond"/>
          <w:color w:val="000000" w:themeColor="text1"/>
          <w:sz w:val="24"/>
          <w:szCs w:val="24"/>
        </w:rPr>
        <w:t xml:space="preserve">předseda okresního soudu </w:t>
      </w:r>
    </w:p>
    <w:p w:rsidR="000C369C" w:rsidRPr="00DA699F" w:rsidRDefault="000C369C" w:rsidP="000C369C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0C369C" w:rsidRPr="00DA699F" w:rsidRDefault="000C369C" w:rsidP="000C369C">
      <w:pPr>
        <w:pStyle w:val="Odstavecseseznamem"/>
        <w:shd w:val="clear" w:color="auto" w:fill="FFFFFF"/>
        <w:spacing w:after="100" w:line="384" w:lineRule="atLeast"/>
        <w:rPr>
          <w:rFonts w:ascii="Garamond" w:hAnsi="Garamond"/>
          <w:bCs/>
          <w:color w:val="000000" w:themeColor="text1"/>
          <w:sz w:val="24"/>
          <w:szCs w:val="24"/>
        </w:rPr>
      </w:pPr>
    </w:p>
    <w:p w:rsidR="000C369C" w:rsidRPr="00DA699F" w:rsidRDefault="000C369C" w:rsidP="000C369C">
      <w:pPr>
        <w:pStyle w:val="Odstavecseseznamem"/>
        <w:ind w:lef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37D0E" w:rsidRPr="00DA699F" w:rsidRDefault="00437D0E" w:rsidP="00437D0E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A24B68" w:rsidRPr="00DA699F" w:rsidRDefault="00A24B68" w:rsidP="00A24B68">
      <w:pPr>
        <w:jc w:val="both"/>
        <w:rPr>
          <w:rFonts w:ascii="Garamond" w:hAnsi="Garamond"/>
          <w:sz w:val="24"/>
          <w:szCs w:val="24"/>
        </w:rPr>
      </w:pPr>
    </w:p>
    <w:sectPr w:rsidR="00A24B68" w:rsidRPr="00DA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219"/>
    <w:multiLevelType w:val="hybridMultilevel"/>
    <w:tmpl w:val="2D42934E"/>
    <w:lvl w:ilvl="0" w:tplc="C68C99A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2019 doplněk č. 3 rozvrhu 2019/03/25 09:51:41"/>
    <w:docVar w:name="DOKUMENT_ADRESAR_FS" w:val="C:\TMP\DB"/>
    <w:docVar w:name="DOKUMENT_AUTOMATICKE_UKLADANI" w:val="NE"/>
    <w:docVar w:name="DOKUMENT_PERIODA_UKLADANI" w:val="10"/>
  </w:docVars>
  <w:rsids>
    <w:rsidRoot w:val="00915928"/>
    <w:rsid w:val="0000344A"/>
    <w:rsid w:val="0001293B"/>
    <w:rsid w:val="000C369C"/>
    <w:rsid w:val="001B4956"/>
    <w:rsid w:val="003F7A8B"/>
    <w:rsid w:val="00437D0E"/>
    <w:rsid w:val="00546BAB"/>
    <w:rsid w:val="007023AB"/>
    <w:rsid w:val="008060D8"/>
    <w:rsid w:val="008B355D"/>
    <w:rsid w:val="00911AAE"/>
    <w:rsid w:val="00915928"/>
    <w:rsid w:val="00A24B68"/>
    <w:rsid w:val="00A85A7C"/>
    <w:rsid w:val="00BA66E3"/>
    <w:rsid w:val="00BB77D9"/>
    <w:rsid w:val="00C47D49"/>
    <w:rsid w:val="00C70DDD"/>
    <w:rsid w:val="00D75943"/>
    <w:rsid w:val="00DA699F"/>
    <w:rsid w:val="00E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B68"/>
    <w:pPr>
      <w:ind w:left="720"/>
      <w:contextualSpacing/>
    </w:pPr>
  </w:style>
  <w:style w:type="paragraph" w:styleId="Bezmezer">
    <w:name w:val="No Spacing"/>
    <w:uiPriority w:val="1"/>
    <w:qFormat/>
    <w:rsid w:val="00911AAE"/>
    <w:pPr>
      <w:spacing w:after="0" w:line="240" w:lineRule="auto"/>
    </w:pPr>
  </w:style>
  <w:style w:type="paragraph" w:customStyle="1" w:styleId="Default">
    <w:name w:val="Default"/>
    <w:rsid w:val="003F7A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B68"/>
    <w:pPr>
      <w:ind w:left="720"/>
      <w:contextualSpacing/>
    </w:pPr>
  </w:style>
  <w:style w:type="paragraph" w:styleId="Bezmezer">
    <w:name w:val="No Spacing"/>
    <w:uiPriority w:val="1"/>
    <w:qFormat/>
    <w:rsid w:val="00911AAE"/>
    <w:pPr>
      <w:spacing w:after="0" w:line="240" w:lineRule="auto"/>
    </w:pPr>
  </w:style>
  <w:style w:type="paragraph" w:customStyle="1" w:styleId="Default">
    <w:name w:val="Default"/>
    <w:rsid w:val="003F7A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6</Pages>
  <Words>1298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Zak01</cp:lastModifiedBy>
  <cp:revision>2</cp:revision>
  <cp:lastPrinted>2019-03-28T08:28:00Z</cp:lastPrinted>
  <dcterms:created xsi:type="dcterms:W3CDTF">2019-03-29T12:40:00Z</dcterms:created>
  <dcterms:modified xsi:type="dcterms:W3CDTF">2019-03-29T12:40:00Z</dcterms:modified>
</cp:coreProperties>
</file>