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Default="00265E2A" w:rsidP="00265E2A">
      <w:pPr>
        <w:pStyle w:val="Nzev"/>
      </w:pPr>
      <w:r>
        <w:t>Okresní soud v Českém Krumlově</w:t>
      </w:r>
    </w:p>
    <w:p w:rsidR="00265E2A" w:rsidRDefault="00265E2A" w:rsidP="00265E2A">
      <w:pPr>
        <w:pStyle w:val="Nadpis1"/>
      </w:pPr>
      <w:r>
        <w:t>Linecká čp. 284, PSČ  381 20</w:t>
      </w:r>
    </w:p>
    <w:p w:rsidR="00265E2A" w:rsidRDefault="00265E2A" w:rsidP="00265E2A">
      <w:pPr>
        <w:jc w:val="center"/>
        <w:rPr>
          <w:b/>
        </w:rPr>
      </w:pPr>
      <w:r>
        <w:t>telefon</w:t>
      </w:r>
      <w:r>
        <w:rPr>
          <w:b/>
        </w:rPr>
        <w:t xml:space="preserve"> 380706 111, </w:t>
      </w:r>
      <w:r w:rsidRPr="00774BD0">
        <w:t>fax</w:t>
      </w:r>
      <w:r>
        <w:rPr>
          <w:b/>
        </w:rPr>
        <w:t xml:space="preserve"> </w:t>
      </w:r>
      <w:r w:rsidR="00774BD0">
        <w:rPr>
          <w:b/>
        </w:rPr>
        <w:t>380</w:t>
      </w:r>
      <w:r w:rsidR="00B875A2">
        <w:rPr>
          <w:b/>
        </w:rPr>
        <w:t>706</w:t>
      </w:r>
      <w:r w:rsidR="00774BD0">
        <w:rPr>
          <w:b/>
        </w:rPr>
        <w:t xml:space="preserve"> 170</w:t>
      </w:r>
    </w:p>
    <w:p w:rsidR="00265E2A" w:rsidRDefault="00265E2A" w:rsidP="00265E2A">
      <w:pPr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>
          <w:rPr>
            <w:rStyle w:val="Hypertextovodkaz"/>
          </w:rPr>
          <w:t>podatelna@osoud.ckr.justice.cz</w:t>
        </w:r>
      </w:hyperlink>
    </w:p>
    <w:p w:rsidR="00265E2A" w:rsidRDefault="00265E2A" w:rsidP="00265E2A">
      <w:pPr>
        <w:pStyle w:val="Nadpis4"/>
      </w:pPr>
    </w:p>
    <w:p w:rsidR="00B76963" w:rsidRDefault="00B76963" w:rsidP="00B76963">
      <w:pPr>
        <w:pStyle w:val="Nadpis4"/>
      </w:pPr>
      <w:r>
        <w:t xml:space="preserve">20Spr 413/2015                                             </w:t>
      </w:r>
      <w:r>
        <w:tab/>
        <w:t xml:space="preserve">     V Českém Krumlově, dne </w:t>
      </w:r>
      <w:proofErr w:type="gramStart"/>
      <w:r>
        <w:t>9.10.2015</w:t>
      </w:r>
      <w:proofErr w:type="gramEnd"/>
      <w:r>
        <w:t xml:space="preserve">  </w:t>
      </w:r>
    </w:p>
    <w:p w:rsidR="00B76963" w:rsidRDefault="00B76963" w:rsidP="00B76963"/>
    <w:p w:rsidR="00B76963" w:rsidRDefault="00B76963" w:rsidP="00B76963"/>
    <w:p w:rsidR="00B76963" w:rsidRDefault="00B76963" w:rsidP="00B76963"/>
    <w:p w:rsidR="00B76963" w:rsidRDefault="00B76963" w:rsidP="00B76963"/>
    <w:p w:rsidR="00B76963" w:rsidRDefault="00B76963" w:rsidP="00B769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rozvrhu práce Okresního soudu v Českém Krumlově</w:t>
      </w:r>
    </w:p>
    <w:p w:rsidR="00B76963" w:rsidRDefault="00B76963" w:rsidP="00B76963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 na rok 2015, s účinností od </w:t>
      </w:r>
      <w:proofErr w:type="gramStart"/>
      <w:r>
        <w:rPr>
          <w:b/>
          <w:sz w:val="28"/>
          <w:szCs w:val="28"/>
          <w:u w:val="single"/>
        </w:rPr>
        <w:t>13.10.2015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76963" w:rsidRDefault="00B76963" w:rsidP="00B76963">
      <w:pPr>
        <w:jc w:val="both"/>
        <w:rPr>
          <w:b/>
          <w:sz w:val="24"/>
          <w:szCs w:val="24"/>
        </w:rPr>
      </w:pPr>
    </w:p>
    <w:p w:rsidR="00B76963" w:rsidRDefault="00B76963" w:rsidP="00B76963">
      <w:pPr>
        <w:jc w:val="both"/>
        <w:rPr>
          <w:b/>
          <w:sz w:val="18"/>
          <w:szCs w:val="18"/>
        </w:rPr>
      </w:pPr>
    </w:p>
    <w:p w:rsidR="00B76963" w:rsidRDefault="00B76963" w:rsidP="00B76963">
      <w:pPr>
        <w:jc w:val="both"/>
        <w:rPr>
          <w:b/>
          <w:sz w:val="18"/>
          <w:szCs w:val="18"/>
        </w:rPr>
      </w:pPr>
    </w:p>
    <w:p w:rsidR="00B76963" w:rsidRDefault="00B76963" w:rsidP="00B76963">
      <w:pPr>
        <w:jc w:val="both"/>
        <w:rPr>
          <w:b/>
          <w:sz w:val="18"/>
          <w:szCs w:val="18"/>
        </w:rPr>
      </w:pPr>
    </w:p>
    <w:p w:rsidR="0000467A" w:rsidRDefault="0000467A" w:rsidP="000046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Věci výkonu rozhodnutí </w:t>
      </w:r>
      <w:r>
        <w:rPr>
          <w:sz w:val="24"/>
          <w:szCs w:val="24"/>
        </w:rPr>
        <w:t xml:space="preserve">příslušející k vyřízení soudci jsou přidělovány do senátu 2E JUDr. Montagovi. Nápad E je přidělován denně vyšší soudní úřednici M. Jaroschové.  Nad veškerými věcmi agendy E vykonává dohled JUDr. Montag. Pověřování a rozhodování podle zákona o soudních exekutorech provádí vyšší soudní úřednice Bc. I. Červová (1/2) a M. Jaroschová (1/2) kolovacím systémem abecedním pořádkem podle označení prvního povinného. Pověřování a rozhodování podle zákona o soudních exekutorech ve věcech  EXE,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příslušejících k vyřízení soudci jsou přidělovány do senátu 2EXE/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JUDr. Montaga. Věci obživlé od </w:t>
      </w:r>
      <w:proofErr w:type="gramStart"/>
      <w:r>
        <w:rPr>
          <w:sz w:val="24"/>
          <w:szCs w:val="24"/>
        </w:rPr>
        <w:t>13.10.2015</w:t>
      </w:r>
      <w:proofErr w:type="gramEnd"/>
      <w:r>
        <w:rPr>
          <w:sz w:val="24"/>
          <w:szCs w:val="24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>
        <w:rPr>
          <w:sz w:val="24"/>
          <w:szCs w:val="24"/>
        </w:rPr>
        <w:t>12.10.2015</w:t>
      </w:r>
      <w:proofErr w:type="gramEnd"/>
      <w:r>
        <w:rPr>
          <w:sz w:val="24"/>
          <w:szCs w:val="24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,  obživlé do </w:t>
      </w:r>
      <w:proofErr w:type="gramStart"/>
      <w:r>
        <w:rPr>
          <w:sz w:val="24"/>
          <w:szCs w:val="24"/>
        </w:rPr>
        <w:t>18.3.2015</w:t>
      </w:r>
      <w:proofErr w:type="gramEnd"/>
      <w:r>
        <w:rPr>
          <w:sz w:val="24"/>
          <w:szCs w:val="24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>
        <w:rPr>
          <w:sz w:val="24"/>
          <w:szCs w:val="24"/>
        </w:rPr>
        <w:t>19.3.2015</w:t>
      </w:r>
      <w:proofErr w:type="gramEnd"/>
      <w:r>
        <w:rPr>
          <w:sz w:val="24"/>
          <w:szCs w:val="24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vykonává JUDr. Montag. Věci </w:t>
      </w:r>
      <w:proofErr w:type="gramStart"/>
      <w:r>
        <w:rPr>
          <w:sz w:val="24"/>
          <w:szCs w:val="24"/>
        </w:rPr>
        <w:t>EXE–pomoc</w:t>
      </w:r>
      <w:proofErr w:type="gramEnd"/>
      <w:r>
        <w:rPr>
          <w:sz w:val="24"/>
          <w:szCs w:val="24"/>
        </w:rPr>
        <w:t xml:space="preserve"> soudu dle § 259 a 260 o.s.</w:t>
      </w:r>
      <w:proofErr w:type="spell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napadají do senátu č. 18 a vyřizuje je vyšší soudní úřednice M. Jaroschová. Prohlášení o majetku dle § 260a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vyřizuje JUDr. Erbová. V případě vyloučení soudce ve věci agendy E, EXE a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(§ 14 odst. 1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.) věc vyřídí soudce, který jej podle rozvrhu práce zastupuje.</w:t>
      </w:r>
    </w:p>
    <w:p w:rsidR="0000467A" w:rsidRDefault="0000467A" w:rsidP="0000467A">
      <w:pPr>
        <w:rPr>
          <w:rFonts w:ascii="Calibri" w:hAnsi="Calibri"/>
          <w:sz w:val="22"/>
          <w:szCs w:val="22"/>
        </w:rPr>
      </w:pPr>
    </w:p>
    <w:p w:rsidR="00B76963" w:rsidRDefault="00B76963" w:rsidP="00B76963">
      <w:pPr>
        <w:rPr>
          <w:sz w:val="24"/>
          <w:szCs w:val="24"/>
        </w:rPr>
      </w:pPr>
    </w:p>
    <w:p w:rsidR="00B76963" w:rsidRDefault="00B76963" w:rsidP="00B769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Žaloby v občanskoprávním oddělení </w:t>
      </w:r>
      <w:r>
        <w:rPr>
          <w:sz w:val="24"/>
          <w:szCs w:val="24"/>
        </w:rPr>
        <w:t xml:space="preserve">včetně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>
          <w:rPr>
            <w:sz w:val="24"/>
            <w:szCs w:val="24"/>
          </w:rPr>
          <w:t>2C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>
          <w:rPr>
            <w:sz w:val="24"/>
            <w:szCs w:val="24"/>
          </w:rPr>
          <w:t>5C</w:t>
        </w:r>
      </w:smartTag>
      <w:r>
        <w:rPr>
          <w:sz w:val="24"/>
          <w:szCs w:val="24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>
          <w:rPr>
            <w:sz w:val="24"/>
            <w:szCs w:val="24"/>
          </w:rPr>
          <w:t>9C</w:t>
        </w:r>
      </w:smartTag>
      <w:r>
        <w:rPr>
          <w:sz w:val="24"/>
          <w:szCs w:val="24"/>
        </w:rPr>
        <w:t xml:space="preserve"> při seřazení žalob a návrhů na zahájení řízení abecedním pořádkem podle příjmení prvního žalovaného, </w:t>
      </w:r>
      <w:r>
        <w:rPr>
          <w:i/>
          <w:sz w:val="24"/>
          <w:szCs w:val="24"/>
        </w:rPr>
        <w:t>a to v pořadí 2C,5C,7C,9C,  2C,5C,7C,9C,  5C,7C,9C,  5C,6C,7C,9C</w:t>
      </w:r>
      <w:r>
        <w:rPr>
          <w:sz w:val="24"/>
          <w:szCs w:val="24"/>
        </w:rPr>
        <w:t xml:space="preserve">. Nápad EC je přidělován denně kolovacím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vyšší soudní úřednice E. Hemmerová. Po podání odporu či zrušení pro nedoručení dle § 173 odst. 2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JUDr. Montag dovyřídí všechny napadlé věci do senátu </w:t>
      </w:r>
      <w:smartTag w:uri="urn:schemas-microsoft-com:office:smarttags" w:element="metricconverter">
        <w:smartTagPr>
          <w:attr w:name="ProductID" w:val="3C"/>
        </w:smartTagPr>
        <w:r>
          <w:rPr>
            <w:sz w:val="24"/>
            <w:szCs w:val="24"/>
          </w:rPr>
          <w:t>3C</w:t>
        </w:r>
      </w:smartTag>
      <w:r>
        <w:rPr>
          <w:sz w:val="24"/>
          <w:szCs w:val="24"/>
        </w:rPr>
        <w:t xml:space="preserve">.  JUDr. Hrdličková dovyřídí všechny napadlé věci do senátu 3EC.  Kolovacím systémem mezi senáty </w:t>
      </w:r>
      <w:smartTag w:uri="urn:schemas-microsoft-com:office:smarttags" w:element="metricconverter">
        <w:smartTagPr>
          <w:attr w:name="ProductID" w:val="2C"/>
        </w:smartTagPr>
        <w:r>
          <w:rPr>
            <w:sz w:val="24"/>
            <w:szCs w:val="24"/>
          </w:rPr>
          <w:t>2C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>
          <w:rPr>
            <w:sz w:val="24"/>
            <w:szCs w:val="24"/>
          </w:rPr>
          <w:t>5C</w:t>
        </w:r>
      </w:smartTag>
      <w:r>
        <w:rPr>
          <w:sz w:val="24"/>
          <w:szCs w:val="24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>
          <w:rPr>
            <w:sz w:val="24"/>
            <w:szCs w:val="24"/>
          </w:rPr>
          <w:t>9C</w:t>
        </w:r>
      </w:smartTag>
      <w:r>
        <w:rPr>
          <w:sz w:val="24"/>
          <w:szCs w:val="24"/>
        </w:rPr>
        <w:t xml:space="preserve"> jsou rozdělovány prodeje zástavy.  Věci agendy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- smíry dle § 67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a návrhy na vydání předběžných opatření před zahájením řízení vyřizuje JUDr. Levý. Věci agendy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– rozhodování o návrzích správce daně na provedení rozvrhového řízení podle § 274 odst. 2 o. s. </w:t>
      </w:r>
      <w:proofErr w:type="spell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>
        <w:rPr>
          <w:sz w:val="24"/>
          <w:szCs w:val="24"/>
        </w:rPr>
        <w:t>Cd  je</w:t>
      </w:r>
      <w:proofErr w:type="gramEnd"/>
      <w:r>
        <w:rPr>
          <w:sz w:val="24"/>
          <w:szCs w:val="24"/>
        </w:rPr>
        <w:t xml:space="preserve"> přiřazováno do senátu 15Cd  vyšší soudní úřednici E. Hemmerové.  Dožádání v rejstříku Cd – věci s cizím prvkem vyřizuje Mgr. Strouha.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 xml:space="preserve">Dohled nad vyřizováním všech věcí agendy 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 xml:space="preserve"> – různé vykonává JUDr. Levý. V případě vyloučení soudce ve věci agendy C, EC, EVC (§ 14 odst. 1, 3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.) věc vyřídí soudce, který jej podle rozvrhu práce zastupuje. Ve věcech úschov rozhoduje vyšší soudní úřednice Eva Hemmerová, soudní tajemnice Miroslava Sazamová dovyřídí úschovy napadlé od </w:t>
      </w:r>
      <w:proofErr w:type="gramStart"/>
      <w:r>
        <w:rPr>
          <w:sz w:val="24"/>
          <w:szCs w:val="24"/>
        </w:rPr>
        <w:t>27.1.2015</w:t>
      </w:r>
      <w:proofErr w:type="gramEnd"/>
      <w:r>
        <w:rPr>
          <w:sz w:val="24"/>
          <w:szCs w:val="24"/>
        </w:rPr>
        <w:t xml:space="preserve"> do 26.4.2015, dohled vykonává Mgr. Strouha. Úkony ve věcech protestace směnek vykonává JUDr. Paloučková.</w:t>
      </w:r>
    </w:p>
    <w:p w:rsidR="00B76963" w:rsidRDefault="00B76963" w:rsidP="00B76963">
      <w:pPr>
        <w:rPr>
          <w:sz w:val="24"/>
          <w:szCs w:val="24"/>
        </w:rPr>
      </w:pPr>
    </w:p>
    <w:p w:rsidR="00B76963" w:rsidRDefault="00B76963" w:rsidP="00B769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 předsedou soudu a shromážděním soudců dne </w:t>
      </w:r>
      <w:proofErr w:type="gramStart"/>
      <w:r>
        <w:rPr>
          <w:sz w:val="24"/>
          <w:szCs w:val="24"/>
        </w:rPr>
        <w:t>9.10.2015</w:t>
      </w:r>
      <w:proofErr w:type="gramEnd"/>
      <w:r>
        <w:rPr>
          <w:sz w:val="24"/>
          <w:szCs w:val="24"/>
        </w:rPr>
        <w:t xml:space="preserve"> </w:t>
      </w:r>
    </w:p>
    <w:p w:rsidR="00B76963" w:rsidRDefault="00B76963" w:rsidP="00B76963">
      <w:pPr>
        <w:jc w:val="both"/>
      </w:pPr>
    </w:p>
    <w:p w:rsidR="00B76963" w:rsidRDefault="00B76963" w:rsidP="00B76963">
      <w:pPr>
        <w:jc w:val="both"/>
      </w:pPr>
    </w:p>
    <w:p w:rsidR="00B76963" w:rsidRDefault="00B76963" w:rsidP="00B76963">
      <w:pPr>
        <w:jc w:val="both"/>
      </w:pPr>
    </w:p>
    <w:p w:rsidR="00B76963" w:rsidRDefault="00B76963" w:rsidP="00B7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B76963" w:rsidRDefault="00B76963" w:rsidP="00B76963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JUDr. Ondřej Círek</w:t>
      </w:r>
    </w:p>
    <w:p w:rsidR="00B76963" w:rsidRDefault="00B76963" w:rsidP="00B7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předseda okresního soudu</w:t>
      </w:r>
    </w:p>
    <w:p w:rsidR="000963B0" w:rsidRPr="00265E2A" w:rsidRDefault="000963B0" w:rsidP="00B76963">
      <w:pPr>
        <w:pStyle w:val="Nadpis4"/>
        <w:rPr>
          <w:szCs w:val="24"/>
        </w:rPr>
      </w:pPr>
    </w:p>
    <w:sectPr w:rsidR="000963B0" w:rsidRPr="00265E2A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0467A"/>
    <w:rsid w:val="000677CD"/>
    <w:rsid w:val="00094F64"/>
    <w:rsid w:val="000963B0"/>
    <w:rsid w:val="001D302F"/>
    <w:rsid w:val="00265E2A"/>
    <w:rsid w:val="0029179B"/>
    <w:rsid w:val="002D22E1"/>
    <w:rsid w:val="002F0996"/>
    <w:rsid w:val="003965BB"/>
    <w:rsid w:val="003B2076"/>
    <w:rsid w:val="003C6805"/>
    <w:rsid w:val="004B76D5"/>
    <w:rsid w:val="004C5B1F"/>
    <w:rsid w:val="004F50BE"/>
    <w:rsid w:val="00507A7F"/>
    <w:rsid w:val="005808EA"/>
    <w:rsid w:val="005B6DDF"/>
    <w:rsid w:val="005C4E48"/>
    <w:rsid w:val="005D5070"/>
    <w:rsid w:val="005E7FA9"/>
    <w:rsid w:val="005F124B"/>
    <w:rsid w:val="005F7193"/>
    <w:rsid w:val="00607F13"/>
    <w:rsid w:val="0074469E"/>
    <w:rsid w:val="00765425"/>
    <w:rsid w:val="00774BD0"/>
    <w:rsid w:val="007C3CC1"/>
    <w:rsid w:val="007D187C"/>
    <w:rsid w:val="00983437"/>
    <w:rsid w:val="00984765"/>
    <w:rsid w:val="00B655BF"/>
    <w:rsid w:val="00B76963"/>
    <w:rsid w:val="00B875A2"/>
    <w:rsid w:val="00B96CE3"/>
    <w:rsid w:val="00C074D0"/>
    <w:rsid w:val="00C57072"/>
    <w:rsid w:val="00CA20E5"/>
    <w:rsid w:val="00CC0EB3"/>
    <w:rsid w:val="00D14241"/>
    <w:rsid w:val="00DE7528"/>
    <w:rsid w:val="00E1713B"/>
    <w:rsid w:val="00EA4A92"/>
    <w:rsid w:val="00F36A3B"/>
    <w:rsid w:val="00F7721D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40</cp:revision>
  <cp:lastPrinted>2015-10-23T08:56:00Z</cp:lastPrinted>
  <dcterms:created xsi:type="dcterms:W3CDTF">2014-11-06T08:48:00Z</dcterms:created>
  <dcterms:modified xsi:type="dcterms:W3CDTF">2015-10-13T04:59:00Z</dcterms:modified>
</cp:coreProperties>
</file>