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D" w:rsidRPr="006124CA" w:rsidRDefault="00772D5D" w:rsidP="00772D5D">
      <w:pPr>
        <w:shd w:val="clear" w:color="auto" w:fill="EAF0F5"/>
        <w:spacing w:before="100" w:beforeAutospacing="1" w:after="100" w:afterAutospacing="1" w:line="450" w:lineRule="atLeast"/>
        <w:jc w:val="center"/>
        <w:outlineLvl w:val="1"/>
        <w:rPr>
          <w:rFonts w:ascii="Garamond" w:eastAsia="Times New Roman" w:hAnsi="Garamond" w:cs="Arial"/>
          <w:b/>
          <w:bCs/>
          <w:color w:val="515151"/>
          <w:sz w:val="39"/>
          <w:szCs w:val="39"/>
          <w:lang w:eastAsia="cs-CZ"/>
        </w:rPr>
      </w:pPr>
      <w:r w:rsidRPr="006124CA">
        <w:rPr>
          <w:rFonts w:ascii="Garamond" w:eastAsia="Times New Roman" w:hAnsi="Garamond" w:cs="Arial"/>
          <w:b/>
          <w:bCs/>
          <w:color w:val="515151"/>
          <w:sz w:val="39"/>
          <w:szCs w:val="39"/>
          <w:lang w:eastAsia="cs-CZ"/>
        </w:rPr>
        <w:t>MILOSTIVÉ LÉTO</w:t>
      </w:r>
    </w:p>
    <w:p w:rsidR="00772D5D" w:rsidRPr="006124CA" w:rsidRDefault="00772D5D" w:rsidP="00772D5D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</w:pPr>
      <w:r w:rsidRPr="006124CA"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  <w:t>CO JE MILOSTIVÉ LÉTO A JEHO VÝHODY</w:t>
      </w:r>
    </w:p>
    <w:p w:rsidR="00772D5D" w:rsidRPr="006124CA" w:rsidRDefault="00772D5D" w:rsidP="00772D5D">
      <w:pPr>
        <w:shd w:val="clear" w:color="auto" w:fill="FFFFFF"/>
        <w:spacing w:after="300" w:line="330" w:lineRule="atLeast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Na základě právní úpravy tzv. milostivého léta se 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fyzickým osobám</w:t>
      </w: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, které mají dluh vůči státu 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vymáhaný </w:t>
      </w:r>
      <w:hyperlink r:id="rId6" w:anchor="Pojem.Soudn%C3%AD%20exekutor" w:tgtFrame="_blank" w:history="1">
        <w:r w:rsidRPr="006124CA">
          <w:rPr>
            <w:rFonts w:ascii="Garamond" w:eastAsia="Times New Roman" w:hAnsi="Garamond" w:cs="Arial"/>
            <w:b/>
            <w:bCs/>
            <w:color w:val="F6565A"/>
            <w:sz w:val="23"/>
            <w:szCs w:val="23"/>
            <w:lang w:eastAsia="cs-CZ"/>
          </w:rPr>
          <w:t>soudním exekutorem</w:t>
        </w:r>
      </w:hyperlink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, </w:t>
      </w: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naskýtá šance splnit svůj dluh zjednodušeným a hlavně finančně výrazně méně nákladným způsobem.</w:t>
      </w:r>
    </w:p>
    <w:p w:rsidR="00772D5D" w:rsidRPr="006124CA" w:rsidRDefault="00772D5D" w:rsidP="00772D5D">
      <w:pPr>
        <w:shd w:val="clear" w:color="auto" w:fill="FFFFFF"/>
        <w:spacing w:after="300" w:line="330" w:lineRule="atLeast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Právní úprava tzv. milostivého léta nabyde účinnosti dnem 28. října 2021. Od tohoto data poběží tříměsíční lhůta, během níž může </w:t>
      </w:r>
      <w:hyperlink r:id="rId7" w:anchor="Pojem.Povinn%C3%BD" w:history="1">
        <w:r w:rsidRPr="006124CA">
          <w:rPr>
            <w:rFonts w:ascii="Garamond" w:eastAsia="Times New Roman" w:hAnsi="Garamond" w:cs="Arial"/>
            <w:color w:val="F6565A"/>
            <w:sz w:val="23"/>
            <w:szCs w:val="23"/>
            <w:lang w:eastAsia="cs-CZ"/>
          </w:rPr>
          <w:t>povinný</w:t>
        </w:r>
      </w:hyperlink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 (dlužník) 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zaplatit nezaplacenou nebo jinak nezaniklou </w:t>
      </w:r>
      <w:hyperlink r:id="rId8" w:anchor="Pojem.Jistina" w:tgtFrame="_blank" w:history="1">
        <w:r w:rsidRPr="006124CA">
          <w:rPr>
            <w:rFonts w:ascii="Garamond" w:eastAsia="Times New Roman" w:hAnsi="Garamond" w:cs="Arial"/>
            <w:b/>
            <w:bCs/>
            <w:color w:val="F6565A"/>
            <w:sz w:val="23"/>
            <w:szCs w:val="23"/>
            <w:lang w:eastAsia="cs-CZ"/>
          </w:rPr>
          <w:t>jistinu</w:t>
        </w:r>
      </w:hyperlink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 vymáhanou v </w:t>
      </w:r>
      <w:hyperlink r:id="rId9" w:anchor="Pojem.Exeku%C4%8Dn%C3%AD%20%C5%99%C3%ADzen%C3%AD" w:tgtFrame="_blank" w:history="1">
        <w:r w:rsidRPr="006124CA">
          <w:rPr>
            <w:rFonts w:ascii="Garamond" w:eastAsia="Times New Roman" w:hAnsi="Garamond" w:cs="Arial"/>
            <w:b/>
            <w:bCs/>
            <w:color w:val="F6565A"/>
            <w:sz w:val="23"/>
            <w:szCs w:val="23"/>
            <w:lang w:eastAsia="cs-CZ"/>
          </w:rPr>
          <w:t>exekučním řízení</w:t>
        </w:r>
      </w:hyperlink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 (případně doplatit zbývající část jistiny) a </w:t>
      </w:r>
      <w:hyperlink r:id="rId10" w:anchor="Pojem.N%C3%A1klady%20exekuce" w:tgtFrame="_blank" w:history="1">
        <w:r w:rsidRPr="006124CA">
          <w:rPr>
            <w:rFonts w:ascii="Garamond" w:eastAsia="Times New Roman" w:hAnsi="Garamond" w:cs="Arial"/>
            <w:b/>
            <w:bCs/>
            <w:color w:val="F6565A"/>
            <w:sz w:val="23"/>
            <w:szCs w:val="23"/>
            <w:lang w:eastAsia="cs-CZ"/>
          </w:rPr>
          <w:t>náklady exekuce</w:t>
        </w:r>
      </w:hyperlink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, které činí 750,- Kč plus DPH </w:t>
      </w: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(je-li soudní exekutor plátcem daně z přidané hodnoty)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. Pokud tak povinný (dlužník) učiní, bude </w:t>
      </w:r>
      <w:hyperlink r:id="rId11" w:anchor="Pojem.Exekuce" w:tgtFrame="_blank" w:history="1">
        <w:r w:rsidRPr="006124CA">
          <w:rPr>
            <w:rFonts w:ascii="Garamond" w:eastAsia="Times New Roman" w:hAnsi="Garamond" w:cs="Arial"/>
            <w:b/>
            <w:bCs/>
            <w:color w:val="F6565A"/>
            <w:sz w:val="23"/>
            <w:szCs w:val="23"/>
            <w:lang w:eastAsia="cs-CZ"/>
          </w:rPr>
          <w:t>exekuce</w:t>
        </w:r>
      </w:hyperlink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 zastavena a soudní exekutor rozhodne o osvobození od placení veškerých dalších vymáhaných pohledávek přesahujících zaplacenou jistinu v exekučním řízení v rozsahu, v němž nebyly dosud uspokojeny</w:t>
      </w: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. Pokud ale povinný (dlužník) nejpozději do 28. ledna 2022 nesplatí svůj dluh na jistině a nákladech exekuce, exekuce mu poběží dál.</w:t>
      </w:r>
    </w:p>
    <w:p w:rsidR="00772D5D" w:rsidRPr="006124CA" w:rsidRDefault="00772D5D" w:rsidP="00772D5D">
      <w:pPr>
        <w:shd w:val="clear" w:color="auto" w:fill="FFFFFF"/>
        <w:spacing w:after="300" w:line="330" w:lineRule="atLeast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Dosud nebyla nikdy v historii České republiky žádná obdobná možnost, jak se rychle zbavit svých dluhů. Zejména v případech, kdy exekuce probíhá již delší dobu, může povinným (dlužníkům) využití tzv. milostivého léta zachránit nemalý finanční obnos, neboť 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u w:val="single"/>
          <w:lang w:eastAsia="cs-CZ"/>
        </w:rPr>
        <w:t>se povinnému (dlužníkovi) zcela odpouští úroky z prodlení a jiné příslušenství.</w:t>
      </w:r>
    </w:p>
    <w:p w:rsidR="00772D5D" w:rsidRPr="006124CA" w:rsidRDefault="00772D5D" w:rsidP="00772D5D">
      <w:pPr>
        <w:shd w:val="clear" w:color="auto" w:fill="FFFFFF"/>
        <w:spacing w:line="330" w:lineRule="atLeast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POZOR:</w:t>
      </w: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 Netýká se případů, kdy po povinném (dlužníkovi) vymáhá jeho dluh přímo soud, nebo jiná organizační složka státu, jako správce daně, tzn. daňovou exekucí. U těchto exekucí nelze „milostivé léto“ využít.</w:t>
      </w:r>
    </w:p>
    <w:p w:rsidR="00772D5D" w:rsidRPr="006124CA" w:rsidRDefault="00772D5D" w:rsidP="00772D5D">
      <w:pPr>
        <w:pStyle w:val="Nadpis3"/>
        <w:shd w:val="clear" w:color="auto" w:fill="FFFFFF"/>
        <w:spacing w:line="420" w:lineRule="atLeast"/>
        <w:rPr>
          <w:rFonts w:ascii="Garamond" w:hAnsi="Garamond" w:cs="Arial"/>
          <w:color w:val="515151"/>
          <w:sz w:val="29"/>
          <w:szCs w:val="29"/>
        </w:rPr>
      </w:pPr>
      <w:r w:rsidRPr="006124CA">
        <w:rPr>
          <w:rFonts w:ascii="Garamond" w:hAnsi="Garamond" w:cs="Arial"/>
          <w:color w:val="515151"/>
          <w:sz w:val="29"/>
          <w:szCs w:val="29"/>
        </w:rPr>
        <w:t>NA JAKÉ POHLEDÁVKY LZE VYUŽÍT</w:t>
      </w:r>
    </w:p>
    <w:p w:rsidR="00772D5D" w:rsidRPr="006124CA" w:rsidRDefault="00772D5D" w:rsidP="00772D5D">
      <w:pPr>
        <w:pStyle w:val="Normlnweb"/>
        <w:shd w:val="clear" w:color="auto" w:fill="FFFFFF"/>
        <w:spacing w:before="0" w:beforeAutospacing="0" w:after="300" w:afterAutospacing="0" w:line="330" w:lineRule="atLeast"/>
        <w:rPr>
          <w:rFonts w:ascii="Garamond" w:hAnsi="Garamond" w:cs="Arial"/>
          <w:color w:val="515151"/>
          <w:sz w:val="23"/>
          <w:szCs w:val="23"/>
        </w:rPr>
      </w:pPr>
      <w:r w:rsidRPr="006124CA">
        <w:rPr>
          <w:rStyle w:val="Siln"/>
          <w:rFonts w:ascii="Garamond" w:hAnsi="Garamond" w:cs="Arial"/>
          <w:color w:val="515151"/>
          <w:sz w:val="23"/>
          <w:szCs w:val="23"/>
        </w:rPr>
        <w:t>Na jaké pohledávky lze využít – na pohledávky splňující všechny níže uvedené podmínky:</w:t>
      </w:r>
    </w:p>
    <w:p w:rsidR="00772D5D" w:rsidRPr="006124CA" w:rsidRDefault="00772D5D" w:rsidP="00772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Garamond" w:hAnsi="Garamond" w:cs="Arial"/>
          <w:color w:val="515151"/>
          <w:sz w:val="23"/>
          <w:szCs w:val="23"/>
        </w:rPr>
      </w:pPr>
      <w:r w:rsidRPr="006124CA">
        <w:rPr>
          <w:rFonts w:ascii="Garamond" w:hAnsi="Garamond" w:cs="Arial"/>
          <w:color w:val="515151"/>
          <w:sz w:val="23"/>
          <w:szCs w:val="23"/>
        </w:rPr>
        <w:t>dluh je vymáhán exekučně soudním exekutorem,</w:t>
      </w:r>
    </w:p>
    <w:p w:rsidR="00772D5D" w:rsidRPr="006124CA" w:rsidRDefault="00772D5D" w:rsidP="00772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Garamond" w:hAnsi="Garamond" w:cs="Arial"/>
          <w:color w:val="515151"/>
          <w:sz w:val="23"/>
          <w:szCs w:val="23"/>
        </w:rPr>
      </w:pPr>
      <w:r w:rsidRPr="006124CA">
        <w:rPr>
          <w:rFonts w:ascii="Garamond" w:hAnsi="Garamond" w:cs="Arial"/>
          <w:color w:val="515151"/>
          <w:sz w:val="23"/>
          <w:szCs w:val="23"/>
        </w:rPr>
        <w:t>povinným (dlužníkem) je fyzická osoba a</w:t>
      </w:r>
    </w:p>
    <w:p w:rsidR="00772D5D" w:rsidRPr="006124CA" w:rsidRDefault="003C35FF" w:rsidP="00772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Garamond" w:hAnsi="Garamond" w:cs="Arial"/>
          <w:color w:val="515151"/>
          <w:sz w:val="23"/>
          <w:szCs w:val="23"/>
        </w:rPr>
      </w:pPr>
      <w:hyperlink r:id="rId12" w:anchor="Pojem.Opr%C3%A1vn%C4%9Bn%C3%BD" w:tgtFrame="_blank" w:history="1">
        <w:r w:rsidR="00772D5D" w:rsidRPr="006124CA">
          <w:rPr>
            <w:rStyle w:val="Hypertextovodkaz"/>
            <w:rFonts w:ascii="Garamond" w:hAnsi="Garamond" w:cs="Arial"/>
            <w:color w:val="F6565A"/>
            <w:sz w:val="23"/>
            <w:szCs w:val="23"/>
          </w:rPr>
          <w:t>oprávněným</w:t>
        </w:r>
      </w:hyperlink>
      <w:r w:rsidR="00772D5D" w:rsidRPr="006124CA">
        <w:rPr>
          <w:rFonts w:ascii="Garamond" w:hAnsi="Garamond" w:cs="Arial"/>
          <w:color w:val="515151"/>
          <w:sz w:val="23"/>
          <w:szCs w:val="23"/>
        </w:rPr>
        <w:t> (věřitelem) je Česká republika, územní samosprávný celek, zdravotní pojišťovna, Český rozhlas nebo Česká televize, a další subjekty uvedené v části druhé čl. IV bodu 25 zákona č. 286/2021 Sb.</w:t>
      </w:r>
    </w:p>
    <w:p w:rsidR="00772D5D" w:rsidRPr="006124CA" w:rsidRDefault="00772D5D" w:rsidP="00772D5D">
      <w:pPr>
        <w:pStyle w:val="Normlnweb"/>
        <w:shd w:val="clear" w:color="auto" w:fill="FFFFFF"/>
        <w:spacing w:before="0" w:beforeAutospacing="0" w:after="300" w:afterAutospacing="0" w:line="330" w:lineRule="atLeast"/>
        <w:rPr>
          <w:rFonts w:ascii="Garamond" w:hAnsi="Garamond" w:cs="Arial"/>
          <w:color w:val="515151"/>
          <w:sz w:val="23"/>
          <w:szCs w:val="23"/>
        </w:rPr>
      </w:pPr>
      <w:r w:rsidRPr="006124CA">
        <w:rPr>
          <w:rStyle w:val="Siln"/>
          <w:rFonts w:ascii="Garamond" w:hAnsi="Garamond" w:cs="Arial"/>
          <w:color w:val="515151"/>
          <w:sz w:val="23"/>
          <w:szCs w:val="23"/>
        </w:rPr>
        <w:t>Nelze využít</w:t>
      </w:r>
      <w:r w:rsidRPr="006124CA">
        <w:rPr>
          <w:rFonts w:ascii="Garamond" w:hAnsi="Garamond" w:cs="Arial"/>
          <w:color w:val="515151"/>
          <w:sz w:val="23"/>
          <w:szCs w:val="23"/>
        </w:rPr>
        <w:t> na peněžité tresty nebo jiné majetkové sankce, které byly povinnému (dlužníkovi) uloženy v trestním řízení pro úmyslný trestný čin a další pohledávky uvedené v části druhé čl. IV bod 25 odst. 8 zákona č. 286/2021 Sb.</w:t>
      </w:r>
    </w:p>
    <w:p w:rsidR="006124CA" w:rsidRDefault="006124CA" w:rsidP="00772D5D">
      <w:pPr>
        <w:pStyle w:val="Nadpis3"/>
        <w:shd w:val="clear" w:color="auto" w:fill="FFFFFF"/>
        <w:spacing w:line="420" w:lineRule="atLeast"/>
        <w:rPr>
          <w:rFonts w:ascii="Garamond" w:hAnsi="Garamond" w:cs="Arial"/>
          <w:color w:val="515151"/>
          <w:sz w:val="29"/>
          <w:szCs w:val="29"/>
        </w:rPr>
      </w:pPr>
    </w:p>
    <w:p w:rsidR="00772D5D" w:rsidRPr="006124CA" w:rsidRDefault="00772D5D" w:rsidP="00772D5D">
      <w:pPr>
        <w:pStyle w:val="Nadpis3"/>
        <w:shd w:val="clear" w:color="auto" w:fill="FFFFFF"/>
        <w:spacing w:line="420" w:lineRule="atLeast"/>
        <w:rPr>
          <w:rFonts w:ascii="Garamond" w:hAnsi="Garamond" w:cs="Arial"/>
          <w:color w:val="515151"/>
          <w:sz w:val="29"/>
          <w:szCs w:val="29"/>
        </w:rPr>
      </w:pPr>
      <w:r w:rsidRPr="006124CA">
        <w:rPr>
          <w:rFonts w:ascii="Garamond" w:hAnsi="Garamond" w:cs="Arial"/>
          <w:color w:val="515151"/>
          <w:sz w:val="29"/>
          <w:szCs w:val="29"/>
        </w:rPr>
        <w:lastRenderedPageBreak/>
        <w:t>TERMÍN, KDY LZE VYUŽÍT</w:t>
      </w:r>
    </w:p>
    <w:p w:rsidR="00772D5D" w:rsidRPr="006124CA" w:rsidRDefault="00772D5D" w:rsidP="00772D5D">
      <w:pPr>
        <w:pStyle w:val="Normlnweb"/>
        <w:shd w:val="clear" w:color="auto" w:fill="FFFFFF"/>
        <w:spacing w:before="0" w:beforeAutospacing="0" w:after="300" w:afterAutospacing="0" w:line="330" w:lineRule="atLeast"/>
        <w:jc w:val="both"/>
        <w:rPr>
          <w:rFonts w:ascii="Garamond" w:hAnsi="Garamond" w:cs="Arial"/>
          <w:color w:val="515151"/>
          <w:sz w:val="23"/>
          <w:szCs w:val="23"/>
        </w:rPr>
      </w:pPr>
      <w:r w:rsidRPr="006124CA">
        <w:rPr>
          <w:rStyle w:val="Siln"/>
          <w:rFonts w:ascii="Garamond" w:hAnsi="Garamond" w:cs="Arial"/>
          <w:color w:val="515151"/>
          <w:sz w:val="23"/>
          <w:szCs w:val="23"/>
        </w:rPr>
        <w:t>Termín, kdy lze využít: </w:t>
      </w:r>
    </w:p>
    <w:p w:rsidR="00772D5D" w:rsidRPr="006124CA" w:rsidRDefault="00772D5D" w:rsidP="00772D5D">
      <w:pPr>
        <w:pStyle w:val="Normlnweb"/>
        <w:shd w:val="clear" w:color="auto" w:fill="FFFFFF"/>
        <w:spacing w:before="0" w:beforeAutospacing="0" w:after="300" w:afterAutospacing="0" w:line="330" w:lineRule="atLeast"/>
        <w:jc w:val="both"/>
        <w:rPr>
          <w:rFonts w:ascii="Garamond" w:hAnsi="Garamond" w:cs="Arial"/>
          <w:color w:val="515151"/>
          <w:sz w:val="23"/>
          <w:szCs w:val="23"/>
        </w:rPr>
      </w:pPr>
      <w:r w:rsidRPr="006124CA">
        <w:rPr>
          <w:rFonts w:ascii="Garamond" w:hAnsi="Garamond" w:cs="Arial"/>
          <w:color w:val="515151"/>
          <w:sz w:val="23"/>
          <w:szCs w:val="23"/>
        </w:rPr>
        <w:t>28. října 2021 až 28. ledna 2022.</w:t>
      </w:r>
    </w:p>
    <w:p w:rsidR="00772D5D" w:rsidRPr="006124CA" w:rsidRDefault="00772D5D" w:rsidP="00772D5D">
      <w:pPr>
        <w:pStyle w:val="Normlnweb"/>
        <w:shd w:val="clear" w:color="auto" w:fill="FFFFFF"/>
        <w:spacing w:before="0" w:beforeAutospacing="0" w:after="300" w:afterAutospacing="0" w:line="330" w:lineRule="atLeast"/>
        <w:rPr>
          <w:rStyle w:val="Siln"/>
          <w:rFonts w:ascii="Garamond" w:hAnsi="Garamond" w:cs="Arial"/>
          <w:color w:val="515151"/>
          <w:sz w:val="23"/>
          <w:szCs w:val="23"/>
        </w:rPr>
      </w:pPr>
      <w:r w:rsidRPr="006124CA">
        <w:rPr>
          <w:rStyle w:val="Siln"/>
          <w:rFonts w:ascii="Garamond" w:hAnsi="Garamond" w:cs="Arial"/>
          <w:color w:val="515151"/>
          <w:sz w:val="23"/>
          <w:szCs w:val="23"/>
        </w:rPr>
        <w:t>Doporučujeme řešit co možná nejdříve.</w:t>
      </w:r>
    </w:p>
    <w:p w:rsidR="00772D5D" w:rsidRPr="006124CA" w:rsidRDefault="00772D5D" w:rsidP="00772D5D">
      <w:pPr>
        <w:pStyle w:val="Normlnweb"/>
        <w:shd w:val="clear" w:color="auto" w:fill="FFFFFF"/>
        <w:spacing w:before="0" w:beforeAutospacing="0" w:after="300" w:afterAutospacing="0" w:line="330" w:lineRule="atLeast"/>
        <w:rPr>
          <w:rStyle w:val="Siln"/>
          <w:rFonts w:ascii="Garamond" w:hAnsi="Garamond" w:cs="Arial"/>
          <w:color w:val="515151"/>
          <w:sz w:val="23"/>
          <w:szCs w:val="23"/>
        </w:rPr>
      </w:pPr>
    </w:p>
    <w:p w:rsidR="00772D5D" w:rsidRPr="006124CA" w:rsidRDefault="00772D5D" w:rsidP="00772D5D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</w:pPr>
      <w:r w:rsidRPr="006124CA"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  <w:t>POSTUP</w:t>
      </w:r>
    </w:p>
    <w:p w:rsidR="00772D5D" w:rsidRPr="006124CA" w:rsidRDefault="00772D5D" w:rsidP="00772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Pokud si povinný (dlužník) není jistý počtem vedených exekucí anebo nezná spisové značky proti němu vedených exekučních řízení, doporučujeme opatřit si 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výpis z </w:t>
      </w:r>
      <w:hyperlink r:id="rId13" w:anchor="Pojem.Centr%C3%A1ln%C3%AD%20evidence%20exekuc%C3%AD" w:tgtFrame="_blank" w:history="1">
        <w:r w:rsidRPr="006124CA">
          <w:rPr>
            <w:rFonts w:ascii="Garamond" w:eastAsia="Times New Roman" w:hAnsi="Garamond" w:cs="Arial"/>
            <w:b/>
            <w:bCs/>
            <w:color w:val="F6565A"/>
            <w:sz w:val="23"/>
            <w:szCs w:val="23"/>
            <w:lang w:eastAsia="cs-CZ"/>
          </w:rPr>
          <w:t>Centrální evidence exekucí</w:t>
        </w:r>
      </w:hyperlink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 (CEE)</w:t>
      </w: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. Výpis z CEE lze pořídit </w:t>
      </w:r>
      <w:hyperlink r:id="rId14" w:history="1">
        <w:r w:rsidRPr="006124CA">
          <w:rPr>
            <w:rFonts w:ascii="Garamond" w:eastAsia="Times New Roman" w:hAnsi="Garamond" w:cs="Arial"/>
            <w:color w:val="F6565A"/>
            <w:sz w:val="23"/>
            <w:szCs w:val="23"/>
            <w:lang w:eastAsia="cs-CZ"/>
          </w:rPr>
          <w:t>on-line</w:t>
        </w:r>
      </w:hyperlink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 na webu </w:t>
      </w:r>
      <w:hyperlink r:id="rId15" w:anchor="Pojem.Exekutorsk%C3%A1%20komora%20%C4%8Cesk%C3%A9%20republiky" w:tgtFrame="_blank" w:history="1">
        <w:r w:rsidRPr="006124CA">
          <w:rPr>
            <w:rFonts w:ascii="Garamond" w:eastAsia="Times New Roman" w:hAnsi="Garamond" w:cs="Arial"/>
            <w:color w:val="F6565A"/>
            <w:sz w:val="23"/>
            <w:szCs w:val="23"/>
            <w:lang w:eastAsia="cs-CZ"/>
          </w:rPr>
          <w:t>Exekutorské komory České republiky</w:t>
        </w:r>
      </w:hyperlink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, nebo na jakékoliv pobočce Czech POINT (Česká pošta, obecní úřad, atp.)</w:t>
      </w:r>
    </w:p>
    <w:p w:rsidR="00772D5D" w:rsidRPr="006124CA" w:rsidRDefault="00772D5D" w:rsidP="00772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Povinný (dlužník) by měl napsat soudnímu exekutorovi dopis (viz </w:t>
      </w:r>
      <w:hyperlink r:id="rId16" w:history="1">
        <w:r w:rsidRPr="006124CA">
          <w:rPr>
            <w:rFonts w:ascii="Garamond" w:eastAsia="Times New Roman" w:hAnsi="Garamond" w:cs="Arial"/>
            <w:color w:val="F6565A"/>
            <w:sz w:val="23"/>
            <w:szCs w:val="23"/>
            <w:lang w:eastAsia="cs-CZ"/>
          </w:rPr>
          <w:t>vzor dopisu</w:t>
        </w:r>
      </w:hyperlink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), ve kterém žádá o informaci o výši své nezaplacené jistiny (pokud ji nezná) a 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informuje jej o využití „milostivého léta“ – </w:t>
      </w:r>
      <w:r w:rsidRPr="006124CA">
        <w:rPr>
          <w:rFonts w:ascii="Garamond" w:eastAsia="Times New Roman" w:hAnsi="Garamond" w:cs="Arial"/>
          <w:b/>
          <w:bCs/>
          <w:i/>
          <w:iCs/>
          <w:color w:val="515151"/>
          <w:sz w:val="23"/>
          <w:szCs w:val="23"/>
          <w:u w:val="single"/>
          <w:lang w:eastAsia="cs-CZ"/>
        </w:rPr>
        <w:t>velmi důležité!</w:t>
      </w:r>
    </w:p>
    <w:p w:rsidR="00772D5D" w:rsidRPr="006124CA" w:rsidRDefault="00772D5D" w:rsidP="00772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Pokud by soudní exekutor v přiměřené lhůtě nereagoval na žádost povinného (dlužníka), má dále povinný (dlužník) možnost získat informaci o původní vymáhané jistině nahlédnutím do spisu soudního exekutora nebo může získat tyto informace přímo u oprávněného (věřitele).</w:t>
      </w:r>
    </w:p>
    <w:p w:rsidR="00772D5D" w:rsidRPr="006124CA" w:rsidRDefault="00772D5D" w:rsidP="00772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Po získání výše uvedených informací povinný (dlužník) zaplatí svůj dluh – jistinu (případně doplatí zbývající část jistiny) a náklady exekuce, které činí 750,- Kč plus DPH (je-li soudní exekutor plátcem daně z přidané hodnoty). </w:t>
      </w:r>
      <w:r w:rsidRPr="006124CA">
        <w:rPr>
          <w:rFonts w:ascii="Garamond" w:eastAsia="Times New Roman" w:hAnsi="Garamond" w:cs="Arial"/>
          <w:b/>
          <w:bCs/>
          <w:color w:val="515151"/>
          <w:sz w:val="23"/>
          <w:szCs w:val="23"/>
          <w:lang w:eastAsia="cs-CZ"/>
        </w:rPr>
        <w:t>Předmětnou platbu povinný (dlužník) označí poznámkou „milostivé léto“ a platbu odešle tak, aby dorazila na účet soudního exekutora nejpozději 28. ledna 2022.</w:t>
      </w:r>
    </w:p>
    <w:p w:rsidR="00772D5D" w:rsidRPr="006124CA" w:rsidRDefault="00772D5D" w:rsidP="00772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Soudní exekutor exekuci zastaví a rozhodne o osvobození od placení veškerých dalších vymáhaných pohledávek přesahujících zaplacenou jistinu v exekučním řízení v rozsahu, v němž nebyly dosud uspokojeny.</w:t>
      </w:r>
    </w:p>
    <w:p w:rsidR="006124CA" w:rsidRDefault="006124CA" w:rsidP="00772D5D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</w:pPr>
    </w:p>
    <w:p w:rsidR="00772D5D" w:rsidRPr="006124CA" w:rsidRDefault="00772D5D" w:rsidP="00772D5D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</w:pPr>
      <w:r w:rsidRPr="006124CA"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  <w:t>PRÁVNÍ ÚPRAVA</w:t>
      </w:r>
    </w:p>
    <w:p w:rsidR="00772D5D" w:rsidRPr="006124CA" w:rsidRDefault="00772D5D" w:rsidP="00772D5D">
      <w:pPr>
        <w:shd w:val="clear" w:color="auto" w:fill="FFFFFF"/>
        <w:spacing w:line="330" w:lineRule="atLeast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Část druhá čl. IV bod 25 zákona č. 286/2021 Sb., kterým se mění zákon č. 99/1963 Sb., </w:t>
      </w:r>
      <w:hyperlink r:id="rId17" w:anchor="Pojem.Ob%C4%8Dansk%C3%BD%20soudn%C3%AD%20%C5%99%C3%A1d" w:tgtFrame="_blank" w:history="1">
        <w:r w:rsidRPr="006124CA">
          <w:rPr>
            <w:rFonts w:ascii="Garamond" w:eastAsia="Times New Roman" w:hAnsi="Garamond" w:cs="Arial"/>
            <w:color w:val="F6565A"/>
            <w:sz w:val="23"/>
            <w:szCs w:val="23"/>
            <w:lang w:eastAsia="cs-CZ"/>
          </w:rPr>
          <w:t>občanský soudní řád</w:t>
        </w:r>
      </w:hyperlink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, ve znění pozdějších předpisů, zákon č. 120/2001 Sb., o soudních exekutorech a exekuční činnosti (</w:t>
      </w:r>
      <w:hyperlink r:id="rId18" w:anchor="Pojem.Exeku%C4%8Dn%C3%AD%20%C5%99%C3%A1d" w:tgtFrame="_blank" w:history="1">
        <w:r w:rsidRPr="006124CA">
          <w:rPr>
            <w:rFonts w:ascii="Garamond" w:eastAsia="Times New Roman" w:hAnsi="Garamond" w:cs="Arial"/>
            <w:color w:val="F6565A"/>
            <w:sz w:val="23"/>
            <w:szCs w:val="23"/>
            <w:lang w:eastAsia="cs-CZ"/>
          </w:rPr>
          <w:t>exekuční řád</w:t>
        </w:r>
      </w:hyperlink>
      <w:r w:rsidRPr="006124CA">
        <w:rPr>
          <w:rFonts w:ascii="Garamond" w:eastAsia="Times New Roman" w:hAnsi="Garamond" w:cs="Arial"/>
          <w:color w:val="515151"/>
          <w:sz w:val="23"/>
          <w:szCs w:val="23"/>
          <w:lang w:eastAsia="cs-CZ"/>
        </w:rPr>
        <w:t>) a o změně dalších zákonů, ve znění pozdějších předpisů, a některé další zákony.</w:t>
      </w:r>
    </w:p>
    <w:p w:rsidR="00772D5D" w:rsidRPr="006124CA" w:rsidRDefault="00772D5D" w:rsidP="00772D5D">
      <w:pPr>
        <w:shd w:val="clear" w:color="auto" w:fill="FFFFFF"/>
        <w:spacing w:line="330" w:lineRule="atLeast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</w:p>
    <w:p w:rsidR="00772D5D" w:rsidRPr="006124CA" w:rsidRDefault="00772D5D" w:rsidP="00772D5D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Garamond" w:eastAsia="Times New Roman" w:hAnsi="Garamond" w:cs="Arial"/>
          <w:color w:val="515151"/>
          <w:sz w:val="23"/>
          <w:szCs w:val="23"/>
          <w:lang w:eastAsia="cs-CZ"/>
        </w:rPr>
      </w:pPr>
      <w:bookmarkStart w:id="0" w:name="_GoBack"/>
      <w:bookmarkEnd w:id="0"/>
    </w:p>
    <w:sectPr w:rsidR="00772D5D" w:rsidRPr="0061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2C3"/>
    <w:multiLevelType w:val="hybridMultilevel"/>
    <w:tmpl w:val="279C1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4B10"/>
    <w:multiLevelType w:val="multilevel"/>
    <w:tmpl w:val="D52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12A34"/>
    <w:multiLevelType w:val="multilevel"/>
    <w:tmpl w:val="8D2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D"/>
    <w:rsid w:val="003C35FF"/>
    <w:rsid w:val="0043219B"/>
    <w:rsid w:val="005A0867"/>
    <w:rsid w:val="006124CA"/>
    <w:rsid w:val="00772D5D"/>
    <w:rsid w:val="00A04DE3"/>
    <w:rsid w:val="00B821EC"/>
    <w:rsid w:val="00C10851"/>
    <w:rsid w:val="00E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2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2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2D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2D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2D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2D5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72D5D"/>
    <w:rPr>
      <w:i/>
      <w:iCs/>
    </w:rPr>
  </w:style>
  <w:style w:type="paragraph" w:customStyle="1" w:styleId="MSp-text">
    <w:name w:val="MSp-text"/>
    <w:basedOn w:val="Normln"/>
    <w:rsid w:val="00772D5D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2">
    <w:name w:val="par2"/>
    <w:basedOn w:val="Standardnpsmoodstavce"/>
    <w:rsid w:val="00E9480E"/>
    <w:rPr>
      <w:b w:val="0"/>
      <w:bCs w:val="0"/>
      <w:vanish w:val="0"/>
      <w:webHidden w:val="0"/>
      <w:specVanish w:val="0"/>
    </w:rPr>
  </w:style>
  <w:style w:type="character" w:customStyle="1" w:styleId="lighter2">
    <w:name w:val="lighter2"/>
    <w:basedOn w:val="Standardnpsmoodstavce"/>
    <w:rsid w:val="00E9480E"/>
    <w:rPr>
      <w:b w:val="0"/>
      <w:bCs w:val="0"/>
    </w:rPr>
  </w:style>
  <w:style w:type="table" w:styleId="Mkatabulky">
    <w:name w:val="Table Grid"/>
    <w:basedOn w:val="Normlntabulka"/>
    <w:uiPriority w:val="99"/>
    <w:rsid w:val="006124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2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2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2D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2D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2D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2D5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72D5D"/>
    <w:rPr>
      <w:i/>
      <w:iCs/>
    </w:rPr>
  </w:style>
  <w:style w:type="paragraph" w:customStyle="1" w:styleId="MSp-text">
    <w:name w:val="MSp-text"/>
    <w:basedOn w:val="Normln"/>
    <w:rsid w:val="00772D5D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2">
    <w:name w:val="par2"/>
    <w:basedOn w:val="Standardnpsmoodstavce"/>
    <w:rsid w:val="00E9480E"/>
    <w:rPr>
      <w:b w:val="0"/>
      <w:bCs w:val="0"/>
      <w:vanish w:val="0"/>
      <w:webHidden w:val="0"/>
      <w:specVanish w:val="0"/>
    </w:rPr>
  </w:style>
  <w:style w:type="character" w:customStyle="1" w:styleId="lighter2">
    <w:name w:val="lighter2"/>
    <w:basedOn w:val="Standardnpsmoodstavce"/>
    <w:rsid w:val="00E9480E"/>
    <w:rPr>
      <w:b w:val="0"/>
      <w:bCs w:val="0"/>
    </w:rPr>
  </w:style>
  <w:style w:type="table" w:styleId="Mkatabulky">
    <w:name w:val="Table Grid"/>
    <w:basedOn w:val="Normlntabulka"/>
    <w:uiPriority w:val="99"/>
    <w:rsid w:val="006124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9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4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4633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0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89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1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1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9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0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3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kuce.justice.cz/slovnik-pojmu/" TargetMode="External"/><Relationship Id="rId13" Type="http://schemas.openxmlformats.org/officeDocument/2006/relationships/hyperlink" Target="http://exekuce.justice.cz/slovnik-pojmu/" TargetMode="External"/><Relationship Id="rId18" Type="http://schemas.openxmlformats.org/officeDocument/2006/relationships/hyperlink" Target="http://exekuce.justice.cz/slovnik-pojm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ekuce.justice.cz/slovnik-pojmu/" TargetMode="External"/><Relationship Id="rId12" Type="http://schemas.openxmlformats.org/officeDocument/2006/relationships/hyperlink" Target="http://exekuce.justice.cz/slovnik-pojmu/" TargetMode="External"/><Relationship Id="rId17" Type="http://schemas.openxmlformats.org/officeDocument/2006/relationships/hyperlink" Target="http://exekuce.justice.cz/slovnik-pojm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ekuce.justice.cz/obecne-vzory-podan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ekuce.justice.cz/slovnik-pojmu/" TargetMode="External"/><Relationship Id="rId11" Type="http://schemas.openxmlformats.org/officeDocument/2006/relationships/hyperlink" Target="http://exekuce.justice.cz/slovnik-pojm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ekuce.justice.cz/slovnik-pojmu/" TargetMode="External"/><Relationship Id="rId10" Type="http://schemas.openxmlformats.org/officeDocument/2006/relationships/hyperlink" Target="http://exekuce.justice.cz/slovnik-pojm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ekuce.justice.cz/slovnik-pojmu/" TargetMode="External"/><Relationship Id="rId14" Type="http://schemas.openxmlformats.org/officeDocument/2006/relationships/hyperlink" Target="https://www.ekcr.cz/1/centralni-evidence-exekuci/22-centralni-evidence-exekuci?w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Jaroslava</dc:creator>
  <cp:lastModifiedBy>Matušková Iva</cp:lastModifiedBy>
  <cp:revision>8</cp:revision>
  <cp:lastPrinted>2021-11-01T11:36:00Z</cp:lastPrinted>
  <dcterms:created xsi:type="dcterms:W3CDTF">2021-10-27T12:26:00Z</dcterms:created>
  <dcterms:modified xsi:type="dcterms:W3CDTF">2021-11-01T12:05:00Z</dcterms:modified>
</cp:coreProperties>
</file>